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after="0"/>
      </w:pPr>
      <w:r>
        <w:t xml:space="preserve"/>
      </w:r>
    </w:p>
    <w:p>
      <w:pPr>
        <w:jc w:val="center"/>
      </w:pPr>
      <w:r>
        <w:rPr>
          <w:rFonts w:ascii="Arial" w:cs="Arial" w:eastAsia="Arial" w:hAnsi="Arial"/>
          <w:b/>
          <w:bCs/>
          <w:color w:val="1F4E79"/>
          <w:sz w:val="56"/>
          <w:szCs w:val="56"/>
        </w:rPr>
        <w:t xml:space="preserve">RIVER REFUGIUM PROJECT</w:t>
      </w:r>
    </w:p>
    <w:p>
      <w:pPr>
        <w:spacing w:before="120" w:after="0"/>
      </w:pPr>
      <w:r>
        <w:t xml:space="preserve"/>
      </w:r>
    </w:p>
    <w:p>
      <w:pPr>
        <w:jc w:val="center"/>
      </w:pPr>
      <w:r>
        <w:rPr>
          <w:rFonts w:ascii="Arial" w:cs="Arial" w:eastAsia="Arial" w:hAnsi="Arial"/>
          <w:color w:val="2E75B6"/>
          <w:sz w:val="30"/>
          <w:szCs w:val="30"/>
        </w:rPr>
        <w:t xml:space="preserve">Complete 17-Volume Series</w:t>
      </w:r>
    </w:p>
    <w:p>
      <w:pPr>
        <w:spacing w:before="60" w:after="0"/>
      </w:pPr>
      <w:r>
        <w:t xml:space="preserve"/>
      </w:r>
    </w:p>
    <w:p>
      <w:pPr>
        <w:jc w:val="center"/>
      </w:pPr>
      <w:r>
        <w:rPr>
          <w:rFonts w:ascii="Arial" w:cs="Arial" w:eastAsia="Arial" w:hAnsi="Arial"/>
          <w:i/>
          <w:iCs/>
          <w:color w:val="555555"/>
          <w:sz w:val="26"/>
          <w:szCs w:val="26"/>
        </w:rPr>
        <w:t xml:space="preserve">Version 2.0  |  01 April 2026</w:t>
      </w:r>
    </w:p>
    <w:p>
      <w:pPr>
        <w:spacing w:before="240" w:after="0"/>
      </w:pPr>
      <w:r>
        <w:t xml:space="preserve"/>
      </w:r>
    </w:p>
    <w:p>
      <w:pPr>
        <w:jc w:val="center"/>
      </w:pPr>
      <w:r>
        <w:rPr>
          <w:rFonts w:ascii="Arial" w:cs="Arial" w:eastAsia="Arial" w:hAnsi="Arial"/>
          <w:b/>
          <w:bCs/>
          <w:color w:val="333333"/>
          <w:sz w:val="26"/>
          <w:szCs w:val="26"/>
        </w:rPr>
        <w:t xml:space="preserve">Cernunnos Foundation  /  Bright Meadow Group</w:t>
      </w:r>
    </w:p>
    <w:p>
      <w:pPr>
        <w:spacing w:before="60" w:after="0"/>
      </w:pPr>
      <w:r>
        <w:t xml:space="preserve"/>
      </w:r>
    </w:p>
    <w:p>
      <w:pPr>
        <w:jc w:val="center"/>
      </w:pPr>
      <w:r>
        <w:rPr>
          <w:rFonts w:ascii="Arial" w:cs="Arial" w:eastAsia="Arial" w:hAnsi="Arial"/>
          <w:i/>
          <w:iCs/>
          <w:color w:val="666666"/>
          <w:sz w:val="22"/>
          <w:szCs w:val="22"/>
        </w:rPr>
        <w:t xml:space="preserve">Systems Analysis and Solutions Consulting</w:t>
      </w:r>
    </w:p>
    <w:p>
      <w:pPr>
        <w:spacing w:before="240" w:after="0"/>
      </w:pPr>
      <w:r>
        <w:t xml:space="preserve"/>
      </w:r>
    </w:p>
    <w:p>
      <w:pPr>
        <w:jc w:val="center"/>
      </w:pPr>
      <w:r>
        <w:rPr>
          <w:rFonts w:ascii="Arial" w:cs="Arial" w:eastAsia="Arial" w:hAnsi="Arial"/>
          <w:color w:val="555555"/>
          <w:sz w:val="22"/>
          <w:szCs w:val="22"/>
        </w:rPr>
        <w:t xml:space="preserve">Document Number: RRP0002</w:t>
      </w:r>
    </w:p>
    <w:p>
      <w:pPr>
        <w:spacing w:before="60" w:after="0"/>
      </w:pPr>
      <w:r>
        <w:t xml:space="preserve"/>
      </w:r>
    </w:p>
    <w:p>
      <w:pPr>
        <w:jc w:val="center"/>
      </w:pPr>
      <w:r>
        <w:rPr>
          <w:rFonts w:ascii="Arial" w:cs="Arial" w:eastAsia="Arial" w:hAnsi="Arial"/>
          <w:color w:val="2E75B6"/>
          <w:sz w:val="22"/>
          <w:szCs w:val="22"/>
        </w:rPr>
        <w:t xml:space="preserve">robert@brightmeadowgroup.com  |  www.cernunnosfoundation.com</w:t>
      </w:r>
    </w:p>
    <w:p>
      <w:r>
        <w:br w:type="page"/>
      </w:r>
    </w:p>
    <w:p>
      <w:pPr>
        <w:pStyle w:val="Heading1"/>
        <w:pBdr>
          <w:bottom w:val="single" w:color="1F4E79" w:sz="6" w:space="1"/>
        </w:pBdr>
        <w:spacing w:before="400" w:after="200"/>
      </w:pPr>
      <w:r>
        <w:rPr>
          <w:rFonts w:ascii="Arial" w:cs="Arial" w:eastAsia="Arial" w:hAnsi="Arial"/>
          <w:b/>
          <w:bCs/>
          <w:color w:val="1F4E79"/>
          <w:sz w:val="36"/>
          <w:szCs w:val="36"/>
        </w:rPr>
        <w:t xml:space="preserve">Master Document Index</w:t>
      </w:r>
    </w:p>
    <w:p>
      <w:pPr>
        <w:spacing w:before="60" w:after="0"/>
      </w:pPr>
      <w:r>
        <w:t xml:space="preserve"/>
      </w:r>
    </w:p>
    <w:p>
      <w:pPr>
        <w:spacing w:before="60" w:after="60"/>
      </w:pPr>
      <w:r>
        <w:rPr>
          <w:rFonts w:ascii="Arial" w:cs="Arial" w:eastAsia="Arial" w:hAnsi="Arial"/>
          <w:sz w:val="24"/>
          <w:szCs w:val="24"/>
        </w:rPr>
        <w:t xml:space="preserve">This index lists all 17 volumes of the River Refugium Project document series, Version 2.0, published 01 April 2026. Each volume is presented in sequence in this consolidated edition. Volumes may be referenced independently by topic using the section headers and table of contents.</w:t>
      </w:r>
    </w:p>
    <w:p>
      <w:pPr>
        <w:spacing w:before="60" w:after="0"/>
      </w:pPr>
      <w:r>
        <w:t xml:space="preserve"/>
      </w:r>
    </w:p>
    <w:p>
      <w:pPr>
        <w:spacing w:before="60" w:after="60"/>
      </w:pPr>
      <w:r>
        <w:rPr>
          <w:rFonts w:ascii="Arial" w:cs="Arial" w:eastAsia="Arial" w:hAnsi="Arial"/>
          <w:sz w:val="24"/>
          <w:szCs w:val="24"/>
        </w:rPr>
        <w:t xml:space="preserve">All provisional figures throughout the series are flagged with the research marker ⚑. These figures are sourced from peer-reviewed literature or industry standards; they are placeholders pending replacement by measured values from RRP pilot operations. The financial model is structured to update automatically when pilot data replaces flagged estimates.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000"/>
        <w:gridCol w:w="1600"/>
        <w:gridCol w:w="4800"/>
        <w:gridCol w:w="1160"/>
      </w:tblGrid>
      <w:tr>
        <w:trPr>
          <w:tblHeader/>
        </w:trPr>
        <w:tc>
          <w:tcPr>
            <w:tcW w:type="dxa" w:w="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Doc</w:t>
            </w:r>
          </w:p>
        </w:tc>
        <w:tc>
          <w:tcPr>
            <w:tcW w:type="dxa" w:w="1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Number</w:t>
            </w:r>
          </w:p>
        </w:tc>
        <w:tc>
          <w:tcPr>
            <w:tcW w:type="dxa" w:w="16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Title</w:t>
            </w:r>
          </w:p>
        </w:tc>
        <w:tc>
          <w:tcPr>
            <w:tcW w:type="dxa" w:w="4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Scope</w:t>
            </w:r>
          </w:p>
        </w:tc>
        <w:tc>
          <w:tcPr>
            <w:tcW w:type="dxa" w:w="11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Status</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RRP0002.1</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Executive Summary</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System overview, design philosophy, economic framework, deployment strategy. Entry point for all audiences.</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RRP1</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RRP0002.2</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Problem Context &amp; Design Philosophy</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Nutrient problem, design inversion thesis, evaporation greenhouse mechanism (passive RO + atmospheric recovery), pilot protocol framework. RRP8 governs measurement standards.</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RRP2</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RRP0002.3</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System Architecture Overview</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Five-zone node architecture, process flow, hub-and-spoke cluster. Includes Figure 1: Node Site Flow Map.</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RRP3</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RRP0002.4</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Water Treatment &amp; Biofiltration</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Forebay, cistern, six-tank biofiltration, solids management, off-gas capture. Industry-standard design assumptions with research disclaimer. All parameters provisional ⚑.</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RRP4</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RRP0002.5</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Greenhouse &amp; Biomass Module</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Crop architecture, nutrient routing grid, polishing house, evaporation greenhouse, biomass module. No proprietary claims.</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RRP5</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RRP0002.6</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HTC/HTL Thermochemical Processing</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Feedstock routing, HTC and HTL parameters at smallest commercial scale, product handling, energy integration, plant CapEx.</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RRP6</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RRP0002.7</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Economic &amp; Deployment Model</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Three-scale deployment model, Model A/B, hub-and-spoke cluster, confirmed variables cross-reference (Var Z corrected), three-scenario financial model.</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RRP7</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RRP0002.8</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Governance, Regulatory &amp; Community Integration</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CWA alignment, tribal sovereignty, municipal/regional governance, community compatibility, capital structure.</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RRP8</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RRP0002.9</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Verification, Monitoring &amp; Performance Certification</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Five axes of verification, SCADA/PLC, open data doctrine, pilot-as-data-engine. GOVERNANCE DOCUMENT for all measurement standards.</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RRP9</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RRP0002.10</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Risk, Failure Modes &amp; Resilience Architecture</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Hydraulic, biological, thermochemical, cybersecurity (NIST SP 800-82), and financial risk. Fail-small/fail-slow/fail-safe design.</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RRP10</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RRP0002.11</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Strategic Deployment Outlook</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Pilot-to-node-to-cluster-to-watershed scaling logic, timeline, Mississippi corridor hero deployment.</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RRP11</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RRP0002.12</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National Narrative &amp; Messaging Strategy</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Five-pillar messaging, audience-specific communication, legislative hooks (Farm Bill, IRA, WRDA, 319h), open data as moral foundation.</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RRP12</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RRP0002.13</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Deployment Economics &amp; Revenue Stack</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Eight-layer revenue stack, three-scenario reference, capital stack, operating cost structure.</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RRPa</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RRP0002-AppA</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Appendix A: Site Selection Matrix</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Ten-criterion matrix (max 150). Tier A: 120+. Helena scored 118/150.</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RRPb</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RRP0002-AppB</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Appendix B: National Watershed Priority Map</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Tier 1/2/3 watershed logic, tribal priority corridors.</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RRPc</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RRP0002-AppC</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Appendix C: Initial Five Recommended Sites</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Helena 118, Cairo 114, Pine Bluff 109, Natchez-Vidalia 108, Tulsa 97. Rescored v2.0.</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RRPd</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RRP0002-AppD</w:t>
            </w:r>
          </w:p>
        </w:tc>
        <w:tc>
          <w:tcPr>
            <w:tcW w:type="dxa" w:w="1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Appendix D: Master Glossary</w:t>
            </w:r>
          </w:p>
        </w:tc>
        <w:tc>
          <w:tcPr>
            <w:tcW w:type="dxa" w:w="4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Technical, biological, thermochemical, economic, and governance terminology. Includes provisional ⚑ flag definition.</w:t>
            </w:r>
          </w:p>
        </w:tc>
        <w:tc>
          <w:tcPr>
            <w:tcW w:type="dxa" w:w="1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Published v2.0</w:t>
            </w:r>
          </w:p>
        </w:tc>
      </w:tr>
    </w:tbl>
    <w:p>
      <w:pPr>
        <w:spacing w:before="120" w:after="0"/>
      </w:pPr>
      <w:r>
        <w:t xml:space="preserve"/>
      </w:r>
    </w:p>
    <w:p>
      <w:pPr>
        <w:spacing w:before="60" w:after="60"/>
      </w:pPr>
      <w:r>
        <w:rPr>
          <w:rFonts w:ascii="Arial" w:cs="Arial" w:eastAsia="Arial" w:hAnsi="Arial"/>
          <w:b/>
          <w:bCs/>
          <w:sz w:val="24"/>
          <w:szCs w:val="24"/>
        </w:rPr>
        <w:t xml:space="preserve">Additional outputs (not included in this volume):</w:t>
      </w:r>
    </w:p>
    <w:p>
      <w:pPr>
        <w:pStyle w:val="ListParagraph"/>
        <w:numPr>
          <w:ilvl w:val="0"/>
          <w:numId w:val="2"/>
        </w:numPr>
        <w:spacing w:before="40" w:after="40"/>
      </w:pPr>
      <w:r>
        <w:rPr>
          <w:rFonts w:ascii="Arial" w:cs="Arial" w:eastAsia="Arial" w:hAnsi="Arial"/>
          <w:sz w:val="24"/>
          <w:szCs w:val="24"/>
        </w:rPr>
        <w:t xml:space="preserve">RRP_Financial_Model_v1.xlsx — Primary financial model, 9 sheets, 43 named variables, 3 scenarios</w:t>
      </w:r>
    </w:p>
    <w:p>
      <w:pPr>
        <w:pStyle w:val="ListParagraph"/>
        <w:numPr>
          <w:ilvl w:val="0"/>
          <w:numId w:val="2"/>
        </w:numPr>
        <w:spacing w:before="40" w:after="40"/>
      </w:pPr>
      <w:r>
        <w:rPr>
          <w:rFonts w:ascii="Arial" w:cs="Arial" w:eastAsia="Arial" w:hAnsi="Arial"/>
          <w:sz w:val="24"/>
          <w:szCs w:val="24"/>
        </w:rPr>
        <w:t xml:space="preserve">RRP_Economic_Analysis_Complete.docx — Primary economic document, 7 sections</w:t>
      </w:r>
    </w:p>
    <w:p>
      <w:pPr>
        <w:pStyle w:val="ListParagraph"/>
        <w:numPr>
          <w:ilvl w:val="0"/>
          <w:numId w:val="2"/>
        </w:numPr>
        <w:spacing w:before="40" w:after="40"/>
      </w:pPr>
      <w:r>
        <w:rPr>
          <w:rFonts w:ascii="Arial" w:cs="Arial" w:eastAsia="Arial" w:hAnsi="Arial"/>
          <w:sz w:val="24"/>
          <w:szCs w:val="24"/>
        </w:rPr>
        <w:t xml:space="preserve">RRP_Appendix_B_National_Watershed_Priority_Map.pdf — Standalone map PDF (Figure B-1 source)</w:t>
      </w:r>
    </w:p>
    <w:p>
      <w:pPr>
        <w:pStyle w:val="ListParagraph"/>
        <w:numPr>
          <w:ilvl w:val="0"/>
          <w:numId w:val="2"/>
        </w:numPr>
        <w:spacing w:before="40" w:after="40"/>
      </w:pPr>
      <w:r>
        <w:rPr>
          <w:rFonts w:ascii="Arial" w:cs="Arial" w:eastAsia="Arial" w:hAnsi="Arial"/>
          <w:sz w:val="24"/>
          <w:szCs w:val="24"/>
        </w:rPr>
        <w:t xml:space="preserve">RRP_Node_Site_Flow_Map.pdf — Standalone flow map PDF (Figure 1 source)</w:t>
      </w:r>
    </w:p>
    <w:p>
      <w:pPr>
        <w:spacing w:before="120" w:after="0"/>
      </w:pPr>
      <w:r>
        <w:t xml:space="preserve"/>
      </w:r>
    </w:p>
    <w:p>
      <w:pPr>
        <w:spacing w:before="60" w:after="60"/>
      </w:pPr>
      <w:r>
        <w:rPr>
          <w:rFonts w:ascii="Arial" w:cs="Arial" w:eastAsia="Arial" w:hAnsi="Arial"/>
          <w:b/>
          <w:bCs/>
          <w:sz w:val="24"/>
          <w:szCs w:val="24"/>
        </w:rPr>
        <w:t xml:space="preserve">Version History</w:t>
      </w:r>
    </w:p>
    <w:p>
      <w:pPr>
        <w:spacing w:before="60" w:after="60"/>
      </w:pPr>
      <w:r>
        <w:rPr>
          <w:rFonts w:ascii="Arial" w:cs="Arial" w:eastAsia="Arial" w:hAnsi="Arial"/>
          <w:sz w:val="24"/>
          <w:szCs w:val="24"/>
        </w:rPr>
        <w:t xml:space="preserve">Version 1.0 (2025): Foundational system architecture and environmental framework. Approx. 400 downloads.</w:t>
      </w:r>
    </w:p>
    <w:p>
      <w:pPr>
        <w:spacing w:before="60" w:after="60"/>
      </w:pPr>
      <w:r>
        <w:rPr>
          <w:rFonts w:ascii="Arial" w:cs="Arial" w:eastAsia="Arial" w:hAnsi="Arial"/>
          <w:sz w:val="24"/>
          <w:szCs w:val="24"/>
        </w:rPr>
        <w:t xml:space="preserve">Version 2.0 (01 April 2026): Adds three-scenario financial model, hub-and-spoke cluster architecture, pilot-as-data-engine thesis, evaporation greenhouse mechanism (passive RO + atmospheric water recovery), polishing house documentation, corrected site selection matrix scoring, national watershed map graphic, node site flow map, financial model cross-reference table, RRP1/RRP8 pilot protocol governance, Variable Z source corrected, all proprietary IP claims removed.</w:t>
      </w:r>
    </w:p>
    <w:p>
      <w:pPr>
        <w:spacing w:before="60" w:after="0"/>
      </w:pPr>
      <w:r>
        <w:t xml:space="preserve"/>
      </w:r>
    </w:p>
    <w:p>
      <w:pPr>
        <w:spacing w:before="60" w:after="60"/>
      </w:pPr>
      <w:r>
        <w:rPr>
          <w:rFonts w:ascii="Arial" w:cs="Arial" w:eastAsia="Arial" w:hAnsi="Arial"/>
          <w:i/>
          <w:iCs/>
          <w:color w:val="666666"/>
          <w:sz w:val="24"/>
          <w:szCs w:val="24"/>
        </w:rPr>
        <w:t xml:space="preserve">Contact: robert@brightmeadowgroup.com  |  www.cernunnosfoundation.com</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RRP0  |  RRP0002.1</w:t>
            </w:r>
          </w:p>
          <w:p>
            <w:pPr>
              <w:spacing w:before="0" w:after="0"/>
            </w:pPr>
            <w:r>
              <w:rPr>
                <w:rFonts w:ascii="Arial" w:cs="Arial" w:eastAsia="Arial" w:hAnsi="Arial"/>
                <w:b/>
                <w:bCs/>
                <w:color w:val="FFFFFF"/>
                <w:sz w:val="36"/>
                <w:szCs w:val="36"/>
              </w:rPr>
              <w:t xml:space="preserve">Executive Summary</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The River Refugium Project (RRP) is a modular, watershed-scale remediation and production system engineered to intercept nutrient-polluted river water, remove contaminants, and convert recovered materials into commercially valuable outputs. Each node functions simultaneously as a refugium — protecting a river segment — and a biorefinery, transforming environmental liabilities into fuels, fibers, biomass, and hydrochar. This summary presents the system concept, design philosophy, deployment architecture, and economic framework at the level required for executive decision-making. Version 2.0 incorporates the three-scenario financial model, hub-and-spoke cluster architecture, and the pilot-as-data-engine thesis.</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System Overview</w:t>
      </w:r>
    </w:p>
    <w:p>
      <w:pPr>
        <w:spacing w:before="60" w:after="60"/>
      </w:pPr>
      <w:r>
        <w:rPr>
          <w:rFonts w:ascii="Arial" w:cs="Arial" w:eastAsia="Arial" w:hAnsi="Arial"/>
          <w:sz w:val="24"/>
          <w:szCs w:val="24"/>
        </w:rPr>
        <w:t xml:space="preserve">The River Refugium Project guides polluted river water through a controlled, closed-loop sequence: capture, buffering, biofiltration, evaporative phase separation, greenhouse-driven nutrient uptake, thermochemical conversion, and return of clean water to the river. Every waste stream becomes a feedstock for another stage, enabling continuous regenerative operation.</w:t>
      </w:r>
    </w:p>
    <w:p>
      <w:pPr>
        <w:spacing w:before="60" w:after="60"/>
      </w:pPr>
      <w:r>
        <w:rPr>
          <w:rFonts w:ascii="Arial" w:cs="Arial" w:eastAsia="Arial" w:hAnsi="Arial"/>
          <w:sz w:val="24"/>
          <w:szCs w:val="24"/>
        </w:rPr>
        <w:t xml:space="preserve">The system's defining design principle inverts the logic of conventional aquaponics: where traditional systems use clean water to grow food, the RRP uses polluted river water as the nutrient source, grows industrial-grade fibers, algae, and biomass rather than food crops, and converts all biomass through hydrothermal processes into fuels, hydrochar, and recyclable process water.</w:t>
      </w:r>
    </w:p>
    <w:p>
      <w:pPr>
        <w:pStyle w:val="Heading2"/>
        <w:spacing w:before="300" w:after="120"/>
      </w:pPr>
      <w:r>
        <w:rPr>
          <w:rFonts w:ascii="Arial" w:cs="Arial" w:eastAsia="Arial" w:hAnsi="Arial"/>
          <w:b/>
          <w:bCs/>
          <w:color w:val="2E75B6"/>
          <w:sz w:val="28"/>
          <w:szCs w:val="28"/>
        </w:rPr>
        <w:t xml:space="preserve">The Problem</w:t>
      </w:r>
    </w:p>
    <w:p>
      <w:pPr>
        <w:spacing w:before="60" w:after="60"/>
      </w:pPr>
      <w:r>
        <w:rPr>
          <w:rFonts w:ascii="Arial" w:cs="Arial" w:eastAsia="Arial" w:hAnsi="Arial"/>
          <w:sz w:val="24"/>
          <w:szCs w:val="24"/>
        </w:rPr>
        <w:t xml:space="preserve">Across American watersheds, non-point-source nutrient runoff — nitrogen, phosphorus, suspended solids, and organic materials — drives harmful algal blooms, fish kills, and downstream hypoxia, most notably in the Gulf of Mexico Dead Zone. Traditional wastewater plants were not designed to manage diffuse agricultural and stormwater loads. Natural wetlands cannot scale rapidly enough to meet demand. RRP fills this structural gap with engineered, expandable nutrient-sink infrastructure designed for river corridors.</w:t>
      </w:r>
    </w:p>
    <w:p>
      <w:pPr>
        <w:pStyle w:val="Heading2"/>
        <w:spacing w:before="300" w:after="120"/>
      </w:pPr>
      <w:r>
        <w:rPr>
          <w:rFonts w:ascii="Arial" w:cs="Arial" w:eastAsia="Arial" w:hAnsi="Arial"/>
          <w:b/>
          <w:bCs/>
          <w:color w:val="2E75B6"/>
          <w:sz w:val="28"/>
          <w:szCs w:val="28"/>
        </w:rPr>
        <w:t xml:space="preserve">System Architecture</w:t>
      </w:r>
    </w:p>
    <w:p>
      <w:pPr>
        <w:spacing w:before="60" w:after="60"/>
      </w:pPr>
      <w:r>
        <w:rPr>
          <w:rFonts w:ascii="Arial" w:cs="Arial" w:eastAsia="Arial" w:hAnsi="Arial"/>
          <w:sz w:val="24"/>
          <w:szCs w:val="24"/>
        </w:rPr>
        <w:t xml:space="preserve">A standard RRP node processes river water through five functional zones: hydraulic intake and stabilization; biological processing (six-tank biofiltration); evaporative phase separation; greenhouse biomass production complex; and thermochemical conversion (HTC/HTL). Each zone delivers water, materials, energy, or data to the next with minimal loss and maximal reuse.</w:t>
      </w:r>
    </w:p>
    <w:p>
      <w:pPr>
        <w:spacing w:before="60" w:after="60"/>
      </w:pPr>
      <w:r>
        <w:rPr>
          <w:rFonts w:ascii="Arial" w:cs="Arial" w:eastAsia="Arial" w:hAnsi="Arial"/>
          <w:sz w:val="24"/>
          <w:szCs w:val="24"/>
        </w:rPr>
        <w:t xml:space="preserve">A 100-acre Model A node processes approximately 168,000 gallons per day through 14 grow units, each containing 13 production greenhouses of 10,800 square feet, fed by a PLC-controlled nutrient routing grid. A Model B node of equivalent acreage carries 15 grow units by returning the reactor footprint to production, with biomass transported to a regional hub for thermochemical processing.</w:t>
      </w:r>
    </w:p>
    <w:p>
      <w:pPr>
        <w:pStyle w:val="Heading2"/>
        <w:spacing w:before="300" w:after="120"/>
      </w:pPr>
      <w:r>
        <w:rPr>
          <w:rFonts w:ascii="Arial" w:cs="Arial" w:eastAsia="Arial" w:hAnsi="Arial"/>
          <w:b/>
          <w:bCs/>
          <w:color w:val="2E75B6"/>
          <w:sz w:val="28"/>
          <w:szCs w:val="28"/>
        </w:rPr>
        <w:t xml:space="preserve">The Pilot as Data Engine</w:t>
      </w:r>
    </w:p>
    <w:p>
      <w:pPr>
        <w:spacing w:before="60" w:after="60"/>
      </w:pPr>
      <w:r>
        <w:rPr>
          <w:rFonts w:ascii="Arial" w:cs="Arial" w:eastAsia="Arial" w:hAnsi="Arial"/>
          <w:sz w:val="24"/>
          <w:szCs w:val="24"/>
        </w:rPr>
        <w:t xml:space="preserve">No prior dataset exists for an integrated multi-species hydroponic nutrient-processing system at this scale. The pilot — one full grow unit — is not a demonstration project. It is the measurement instrument that generates the biomass yield curves, seasonal variation data, maintenance cycle impacts, and nutrient removal rates that size every reactor cluster that follows.</w:t>
      </w:r>
    </w:p>
    <w:p>
      <w:pPr>
        <w:spacing w:before="60" w:after="60"/>
      </w:pPr>
      <w:r>
        <w:rPr>
          <w:rFonts w:ascii="Arial" w:cs="Arial" w:eastAsia="Arial" w:hAnsi="Arial"/>
          <w:sz w:val="24"/>
          <w:szCs w:val="24"/>
        </w:rPr>
        <w:t xml:space="preserve">Until pilot data exists, all financial projections use provisional academic proxies, clearly flagged. The model is built to update automatically as measured values replace estimates. This is not a limitation — it is the most defensible feature of the financial architecture.</w:t>
      </w:r>
    </w:p>
    <w:p>
      <w:pPr>
        <w:pStyle w:val="Heading2"/>
        <w:spacing w:before="300" w:after="120"/>
      </w:pPr>
      <w:r>
        <w:rPr>
          <w:rFonts w:ascii="Arial" w:cs="Arial" w:eastAsia="Arial" w:hAnsi="Arial"/>
          <w:b/>
          <w:bCs/>
          <w:color w:val="2E75B6"/>
          <w:sz w:val="28"/>
          <w:szCs w:val="28"/>
        </w:rPr>
        <w:t xml:space="preserve">Economic Framework</w:t>
      </w:r>
    </w:p>
    <w:p>
      <w:pPr>
        <w:spacing w:before="60" w:after="60"/>
      </w:pPr>
      <w:r>
        <w:rPr>
          <w:rFonts w:ascii="Arial" w:cs="Arial" w:eastAsia="Arial" w:hAnsi="Arial"/>
          <w:sz w:val="24"/>
          <w:szCs w:val="24"/>
        </w:rPr>
        <w:t xml:space="preserve">The RRP Economic Analysis (Version 2.0) presents three scenarios against which the system is evaluated: Stress Test, Operating Model, and Best Case.</w:t>
      </w:r>
    </w:p>
    <w:p>
      <w:pPr>
        <w:pStyle w:val="ListParagraph"/>
        <w:numPr>
          <w:ilvl w:val="0"/>
          <w:numId w:val="2"/>
        </w:numPr>
        <w:spacing w:before="40" w:after="40"/>
      </w:pPr>
      <w:r>
        <w:rPr>
          <w:rFonts w:ascii="Arial" w:cs="Arial" w:eastAsia="Arial" w:hAnsi="Arial"/>
          <w:sz w:val="24"/>
          <w:szCs w:val="24"/>
        </w:rPr>
        <w:t xml:space="preserve">Stress Test: system loses money at floor market prices. The biology continues to function; the financial engine requires market support.</w:t>
      </w:r>
    </w:p>
    <w:p>
      <w:pPr>
        <w:pStyle w:val="ListParagraph"/>
        <w:numPr>
          <w:ilvl w:val="0"/>
          <w:numId w:val="2"/>
        </w:numPr>
        <w:spacing w:before="40" w:after="40"/>
      </w:pPr>
      <w:r>
        <w:rPr>
          <w:rFonts w:ascii="Arial" w:cs="Arial" w:eastAsia="Arial" w:hAnsi="Arial"/>
          <w:sz w:val="24"/>
          <w:szCs w:val="24"/>
        </w:rPr>
        <w:t xml:space="preserve">Operating Model: Model B is modestly profitable at 11.8% EBITDA margin. Model A requires one Model B satellite to cross into positive territory — the designed minimum cluster. Model A crosses into standalone profitability at $5.25/lb nitrogen credits.</w:t>
      </w:r>
    </w:p>
    <w:p>
      <w:pPr>
        <w:pStyle w:val="ListParagraph"/>
        <w:numPr>
          <w:ilvl w:val="0"/>
          <w:numId w:val="2"/>
        </w:numPr>
        <w:spacing w:before="40" w:after="40"/>
      </w:pPr>
      <w:r>
        <w:rPr>
          <w:rFonts w:ascii="Arial" w:cs="Arial" w:eastAsia="Arial" w:hAnsi="Arial"/>
          <w:sz w:val="24"/>
          <w:szCs w:val="24"/>
        </w:rPr>
        <w:t xml:space="preserve">Best Case: Model B clears $2.37M net income on $4.35M equity, sub-1-year payback. Model A at $1.78M net income.</w:t>
      </w:r>
    </w:p>
    <w:p>
      <w:pPr>
        <w:spacing w:before="60" w:after="60"/>
      </w:pPr>
      <w:r>
        <w:rPr>
          <w:rFonts w:ascii="Arial" w:cs="Arial" w:eastAsia="Arial" w:hAnsi="Arial"/>
          <w:sz w:val="24"/>
          <w:szCs w:val="24"/>
        </w:rPr>
        <w:t xml:space="preserve">The greenhouse construction contract is the most important financial variable in the model. At $7/sq ft industrial build specification (no food-safety requirement), both models become viable. The $15/sq ft proxy used in Version 1.0 overstated CapEx by approximately $15M per node.</w:t>
      </w:r>
    </w:p>
    <w:p>
      <w:pPr>
        <w:pStyle w:val="Heading2"/>
        <w:spacing w:before="300" w:after="120"/>
      </w:pPr>
      <w:r>
        <w:rPr>
          <w:rFonts w:ascii="Arial" w:cs="Arial" w:eastAsia="Arial" w:hAnsi="Arial"/>
          <w:b/>
          <w:bCs/>
          <w:color w:val="2E75B6"/>
          <w:sz w:val="28"/>
          <w:szCs w:val="28"/>
        </w:rPr>
        <w:t xml:space="preserve">Deployment</w:t>
      </w:r>
    </w:p>
    <w:p>
      <w:pPr>
        <w:spacing w:before="60" w:after="60"/>
      </w:pPr>
      <w:r>
        <w:rPr>
          <w:rFonts w:ascii="Arial" w:cs="Arial" w:eastAsia="Arial" w:hAnsi="Arial"/>
          <w:sz w:val="24"/>
          <w:szCs w:val="24"/>
        </w:rPr>
        <w:t xml:space="preserve">Distributed nodes can be deployed by municipalities, tribal nations, utilities, and watershed partnerships, forming a modular arc of nutrient-sink infrastructure on floodplains, brownfields, abandoned industrial parcels, and river-adjacent marginal acreage. The hub-and-spoke cluster — one Model A hub serving 5–10 Model B satellites — is the standard operating configuration.</w:t>
      </w:r>
    </w:p>
    <w:p>
      <w:pPr>
        <w:spacing w:before="60" w:after="60"/>
      </w:pPr>
      <w:r>
        <w:rPr>
          <w:rFonts w:ascii="Arial" w:cs="Arial" w:eastAsia="Arial" w:hAnsi="Arial"/>
          <w:sz w:val="24"/>
          <w:szCs w:val="24"/>
        </w:rPr>
        <w:t xml:space="preserve">The first full deployment site is the Lower Mississippi corridor between Memphis and New Orleans, where nutrient density, land cost, labor availability, climate advantage, and political opportunity converge.</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Citations follow Chicago Notes-Bibliography style. Internal Bright Meadow Group / Cernunnos Foundation documents are cited by document title and year. Figures marked ⚑ are provisional academic proxies pending replacement by RRP pilot data per RRP8.</w:t>
      </w:r>
    </w:p>
    <w:p>
      <w:pPr>
        <w:spacing w:before="40" w:after="40"/>
        <w:ind w:left="360"/>
      </w:pPr>
      <w:r>
        <w:rPr>
          <w:rFonts w:ascii="Arial" w:cs="Arial" w:eastAsia="Arial" w:hAnsi="Arial"/>
          <w:i/>
          <w:iCs/>
          <w:color w:val="666666"/>
          <w:sz w:val="20"/>
          <w:szCs w:val="20"/>
        </w:rPr>
        <w:t xml:space="preserve">1. Bright Meadow Group, "River Refugium Project — Technical Whitepaper," Version 1.0. CF/BMG Internal, 2025.</w:t>
      </w:r>
    </w:p>
    <w:p>
      <w:pPr>
        <w:spacing w:before="40" w:after="40"/>
        <w:ind w:left="360"/>
      </w:pPr>
      <w:r>
        <w:rPr>
          <w:rFonts w:ascii="Arial" w:cs="Arial" w:eastAsia="Arial" w:hAnsi="Arial"/>
          <w:i/>
          <w:iCs/>
          <w:color w:val="666666"/>
          <w:sz w:val="20"/>
          <w:szCs w:val="20"/>
        </w:rPr>
        <w:t xml:space="preserve">2. U.S. Geological Survey, Nutrient Loads and Trends in Major U.S. Rivers; USDA Conservation Effects Assessment Project (CEAP).</w:t>
      </w:r>
    </w:p>
    <w:p>
      <w:pPr>
        <w:spacing w:before="40" w:after="40"/>
        <w:ind w:left="360"/>
      </w:pPr>
      <w:r>
        <w:rPr>
          <w:rFonts w:ascii="Arial" w:cs="Arial" w:eastAsia="Arial" w:hAnsi="Arial"/>
          <w:i/>
          <w:iCs/>
          <w:color w:val="666666"/>
          <w:sz w:val="20"/>
          <w:szCs w:val="20"/>
        </w:rPr>
        <w:t xml:space="preserve">3. Mitsch, W.J. and Gosselink, J.G., Wetlands, 5th ed. (Hoboken: Wiley, 2015).</w:t>
      </w:r>
    </w:p>
    <w:p>
      <w:pPr>
        <w:spacing w:before="40" w:after="40"/>
        <w:ind w:left="360"/>
      </w:pPr>
      <w:r>
        <w:rPr>
          <w:rFonts w:ascii="Arial" w:cs="Arial" w:eastAsia="Arial" w:hAnsi="Arial"/>
          <w:i/>
          <w:iCs/>
          <w:color w:val="666666"/>
          <w:sz w:val="20"/>
          <w:szCs w:val="20"/>
        </w:rPr>
        <w:t xml:space="preserve">4. Bright Meadow Group, "RRP2 — System Architecture Overview," Version 2.0. CF/BMG, 01 April 2026.</w:t>
      </w:r>
    </w:p>
    <w:p>
      <w:pPr>
        <w:spacing w:before="40" w:after="40"/>
        <w:ind w:left="360"/>
      </w:pPr>
      <w:r>
        <w:rPr>
          <w:rFonts w:ascii="Arial" w:cs="Arial" w:eastAsia="Arial" w:hAnsi="Arial"/>
          <w:i/>
          <w:iCs/>
          <w:color w:val="666666"/>
          <w:sz w:val="20"/>
          <w:szCs w:val="20"/>
        </w:rPr>
        <w:t xml:space="preserve">5. Bright Meadow Group, "RRP6 — Economic &amp; Deployment Model," Version 2.0. CF/BMG, 01 April 2026.</w:t>
      </w:r>
    </w:p>
    <w:p>
      <w:pPr>
        <w:spacing w:before="40" w:after="40"/>
        <w:ind w:left="360"/>
      </w:pPr>
      <w:r>
        <w:rPr>
          <w:rFonts w:ascii="Arial" w:cs="Arial" w:eastAsia="Arial" w:hAnsi="Arial"/>
          <w:i/>
          <w:iCs/>
          <w:color w:val="666666"/>
          <w:sz w:val="20"/>
          <w:szCs w:val="20"/>
        </w:rPr>
        <w:t xml:space="preserve">6. Bright Meadow Group, "RRP Economic Analysis — Three-Scenario Framework," Version 2.0. CF/BMG, 01 April 2026.</w:t>
      </w:r>
    </w:p>
    <w:p>
      <w:pPr>
        <w:spacing w:before="40" w:after="40"/>
        <w:ind w:left="360"/>
      </w:pPr>
      <w:r>
        <w:rPr>
          <w:rFonts w:ascii="Arial" w:cs="Arial" w:eastAsia="Arial" w:hAnsi="Arial"/>
          <w:i/>
          <w:iCs/>
          <w:color w:val="666666"/>
          <w:sz w:val="20"/>
          <w:szCs w:val="20"/>
        </w:rPr>
        <w:t xml:space="preserve">7. Bright Meadow Group, "RRP10 — Strategic Deployment Outlook," Version 2.0. CF/BMG, 01 April 2026.</w:t>
      </w:r>
    </w:p>
    <w:p>
      <w:pPr>
        <w:spacing w:before="40" w:after="40"/>
        <w:ind w:left="360"/>
      </w:pPr>
      <w:r>
        <w:rPr>
          <w:rFonts w:ascii="Arial" w:cs="Arial" w:eastAsia="Arial" w:hAnsi="Arial"/>
          <w:i/>
          <w:iCs/>
          <w:color w:val="666666"/>
          <w:sz w:val="20"/>
          <w:szCs w:val="20"/>
        </w:rPr>
        <w:t xml:space="preserve">8. Bright Meadow Group, "RRPc — Initial Five Recommended Sites," Version 2.0. CF/BMG, 01 April 2026.</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RRP1  |  RRP0002.2</w:t>
            </w:r>
          </w:p>
          <w:p>
            <w:pPr>
              <w:spacing w:before="0" w:after="0"/>
            </w:pPr>
            <w:r>
              <w:rPr>
                <w:rFonts w:ascii="Arial" w:cs="Arial" w:eastAsia="Arial" w:hAnsi="Arial"/>
                <w:b/>
                <w:bCs/>
                <w:color w:val="FFFFFF"/>
                <w:sz w:val="36"/>
                <w:szCs w:val="36"/>
              </w:rPr>
              <w:t xml:space="preserve">Problem Context &amp; Design Philosophy</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This document establishes the environmental and infrastructure problem the River Refugium Project addresses and explains the design philosophy that governs its architecture. Non-point-source nutrient pollution represents a structural failure of existing remediation approaches — too diffuse for wastewater treatment, too large for field-level conservation practices, and too fast-moving for natural wetland restoration. The RRP introduces a fourth category of solution: proactive, regenerative, revenue-generating, watershed-scale nutrient interception infrastructure. The design philosophy inverts conventional aquaponics, eliminates food-chain exposure, and industrializes the environmental service.</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1. The Nutrient Problem: A National System Failure</w:t>
      </w:r>
    </w:p>
    <w:p>
      <w:pPr>
        <w:spacing w:before="60" w:after="60"/>
      </w:pPr>
      <w:r>
        <w:rPr>
          <w:rFonts w:ascii="Arial" w:cs="Arial" w:eastAsia="Arial" w:hAnsi="Arial"/>
          <w:sz w:val="24"/>
          <w:szCs w:val="24"/>
        </w:rPr>
        <w:t xml:space="preserve">American watersheds carry nutrient loads they were never designed to bear. Nitrogen, phosphorus, sediment, and organic materials leak at every stage of the continent's agricultural and industrial economy, traveling downstream until they accumulate in receiving waters and create the conditions for hypoxia, algal blooms, and ecosystem collapse.</w:t>
      </w:r>
    </w:p>
    <w:p>
      <w:pPr>
        <w:spacing w:before="60" w:after="60"/>
      </w:pPr>
      <w:r>
        <w:rPr>
          <w:rFonts w:ascii="Arial" w:cs="Arial" w:eastAsia="Arial" w:hAnsi="Arial"/>
          <w:sz w:val="24"/>
          <w:szCs w:val="24"/>
        </w:rPr>
        <w:t xml:space="preserve">The problem is not individual. It is structural. By the time nutrient loads reach major rivers, their sources are diffuse, intermingled, and largely unattributable to any single stakeholder. This is why the polluter-pays model fails at watershed scale — there is no single polluter to pay.</w:t>
      </w:r>
    </w:p>
    <w:p>
      <w:pPr>
        <w:spacing w:before="60" w:after="60"/>
      </w:pPr>
      <w:r>
        <w:rPr>
          <w:rFonts w:ascii="Arial" w:cs="Arial" w:eastAsia="Arial" w:hAnsi="Arial"/>
          <w:sz w:val="24"/>
          <w:szCs w:val="24"/>
        </w:rPr>
        <w:t xml:space="preserve">At the Gulf of Mexico, the accumulated nutrient export of the entire Mississippi Basin produces a seasonal Dead Zone measured in thousands of square miles — a direct consequence of agricultural and stormwater runoff that no existing infrastructure was designed to intercept.</w:t>
      </w:r>
    </w:p>
    <w:p>
      <w:pPr>
        <w:pStyle w:val="Heading2"/>
        <w:spacing w:before="300" w:after="120"/>
      </w:pPr>
      <w:r>
        <w:rPr>
          <w:rFonts w:ascii="Arial" w:cs="Arial" w:eastAsia="Arial" w:hAnsi="Arial"/>
          <w:b/>
          <w:bCs/>
          <w:color w:val="2E75B6"/>
          <w:sz w:val="28"/>
          <w:szCs w:val="28"/>
        </w:rPr>
        <w:t xml:space="preserve">2. Why Traditional Solutions Fail at Scale</w:t>
      </w:r>
    </w:p>
    <w:p>
      <w:pPr>
        <w:pStyle w:val="Heading3"/>
        <w:spacing w:before="200" w:after="80"/>
      </w:pPr>
      <w:r>
        <w:rPr>
          <w:rFonts w:ascii="Arial" w:cs="Arial" w:eastAsia="Arial" w:hAnsi="Arial"/>
          <w:b/>
          <w:bCs/>
          <w:color w:val="404040"/>
          <w:sz w:val="26"/>
          <w:szCs w:val="26"/>
        </w:rPr>
        <w:t xml:space="preserve">2.1 Natural Wetlands Cannot Expand Fast Enough</w:t>
      </w:r>
    </w:p>
    <w:p>
      <w:pPr>
        <w:spacing w:before="60" w:after="60"/>
      </w:pPr>
      <w:r>
        <w:rPr>
          <w:rFonts w:ascii="Arial" w:cs="Arial" w:eastAsia="Arial" w:hAnsi="Arial"/>
          <w:sz w:val="24"/>
          <w:szCs w:val="24"/>
        </w:rPr>
        <w:t xml:space="preserve">Wetlands are nutrient sinks, but they require large footprints, slow establishment timescales, and favorable hydrology. Restoring natural wetlands is worthwhile, but they cannot be deployed at the acreage and pace required to offset modern agricultural intensity.</w:t>
      </w:r>
    </w:p>
    <w:p>
      <w:pPr>
        <w:pStyle w:val="Heading3"/>
        <w:spacing w:before="200" w:after="80"/>
      </w:pPr>
      <w:r>
        <w:rPr>
          <w:rFonts w:ascii="Arial" w:cs="Arial" w:eastAsia="Arial" w:hAnsi="Arial"/>
          <w:b/>
          <w:bCs/>
          <w:color w:val="404040"/>
          <w:sz w:val="26"/>
          <w:szCs w:val="26"/>
        </w:rPr>
        <w:t xml:space="preserve">2.2 Wastewater Plants Were Built for Cities, Not Watersheds</w:t>
      </w:r>
    </w:p>
    <w:p>
      <w:pPr>
        <w:spacing w:before="60" w:after="60"/>
      </w:pPr>
      <w:r>
        <w:rPr>
          <w:rFonts w:ascii="Arial" w:cs="Arial" w:eastAsia="Arial" w:hAnsi="Arial"/>
          <w:sz w:val="24"/>
          <w:szCs w:val="24"/>
        </w:rPr>
        <w:t xml:space="preserve">Municipal treatment infrastructure removes nutrients from municipal flow. It does not address farm runoff, tile drainage, stormwater surges, or tributary legacy loads. A city of 20,000 cannot afford to treat the nutrient stream of the 200,000-acre agricultural basin surrounding it.</w:t>
      </w:r>
    </w:p>
    <w:p>
      <w:pPr>
        <w:pStyle w:val="Heading3"/>
        <w:spacing w:before="200" w:after="80"/>
      </w:pPr>
      <w:r>
        <w:rPr>
          <w:rFonts w:ascii="Arial" w:cs="Arial" w:eastAsia="Arial" w:hAnsi="Arial"/>
          <w:b/>
          <w:bCs/>
          <w:color w:val="404040"/>
          <w:sz w:val="26"/>
          <w:szCs w:val="26"/>
        </w:rPr>
        <w:t xml:space="preserve">2.3 Field-Level Practices Are Necessary but Insufficient</w:t>
      </w:r>
    </w:p>
    <w:p>
      <w:pPr>
        <w:spacing w:before="60" w:after="60"/>
      </w:pPr>
      <w:r>
        <w:rPr>
          <w:rFonts w:ascii="Arial" w:cs="Arial" w:eastAsia="Arial" w:hAnsi="Arial"/>
          <w:sz w:val="24"/>
          <w:szCs w:val="24"/>
        </w:rPr>
        <w:t xml:space="preserve">Conservation tillage, buffer strips, cover crops, and no-till agriculture all reduce nutrient loss at the parcel scale. They cannot counterbalance rising fertilizer use, legacy phosphorus in soils, increased stormwater intensity, or monoculture cropping patterns at watershed scale. Even high-performing farms still leak.</w:t>
      </w:r>
    </w:p>
    <w:p>
      <w:pPr>
        <w:pStyle w:val="Heading3"/>
        <w:spacing w:before="200" w:after="80"/>
      </w:pPr>
      <w:r>
        <w:rPr>
          <w:rFonts w:ascii="Arial" w:cs="Arial" w:eastAsia="Arial" w:hAnsi="Arial"/>
          <w:b/>
          <w:bCs/>
          <w:color w:val="404040"/>
          <w:sz w:val="26"/>
          <w:szCs w:val="26"/>
        </w:rPr>
        <w:t xml:space="preserve">2.4 The Missing Infrastructure Layer</w:t>
      </w:r>
    </w:p>
    <w:p>
      <w:pPr>
        <w:spacing w:before="60" w:after="60"/>
      </w:pPr>
      <w:r>
        <w:rPr>
          <w:rFonts w:ascii="Arial" w:cs="Arial" w:eastAsia="Arial" w:hAnsi="Arial"/>
          <w:sz w:val="24"/>
          <w:szCs w:val="24"/>
        </w:rPr>
        <w:t xml:space="preserve">The United States has wastewater infrastructure. It has agricultural best practices. What it lacks is watershed-scale nutrient interception infrastructure — the functional equivalent of a utility whose product is clean water leaving the basin. The RRP fills that role.</w:t>
      </w:r>
    </w:p>
    <w:p>
      <w:pPr>
        <w:pStyle w:val="Heading2"/>
        <w:spacing w:before="300" w:after="120"/>
      </w:pPr>
      <w:r>
        <w:rPr>
          <w:rFonts w:ascii="Arial" w:cs="Arial" w:eastAsia="Arial" w:hAnsi="Arial"/>
          <w:b/>
          <w:bCs/>
          <w:color w:val="2E75B6"/>
          <w:sz w:val="28"/>
          <w:szCs w:val="28"/>
        </w:rPr>
        <w:t xml:space="preserve">3. Design Philosophy: Aquaponics Inverted</w:t>
      </w:r>
    </w:p>
    <w:p>
      <w:pPr>
        <w:spacing w:before="60" w:after="60"/>
      </w:pPr>
      <w:r>
        <w:rPr>
          <w:rFonts w:ascii="Arial" w:cs="Arial" w:eastAsia="Arial" w:hAnsi="Arial"/>
          <w:sz w:val="24"/>
          <w:szCs w:val="24"/>
        </w:rPr>
        <w:t xml:space="preserve">Classical aquaponics uses clean water and fish waste to grow food plants. The RRP inverts this relationship entirely. The river is the nutrient source. The greenhouse complex is the engineered wetland. The products are industrial-grade fibers, algae, and biomass — not food crops. The system operates year-round in controlled environments rather than seasonally in open fields.</w:t>
      </w:r>
    </w:p>
    <w:p>
      <w:pPr>
        <w:spacing w:before="60" w:after="60"/>
      </w:pPr>
      <w:r>
        <w:rPr>
          <w:rFonts w:ascii="Arial" w:cs="Arial" w:eastAsia="Arial" w:hAnsi="Arial"/>
          <w:sz w:val="24"/>
          <w:szCs w:val="24"/>
        </w:rPr>
        <w:t xml:space="preserve">This inversion delivers four strategic advantages: no food-chain exposure; engineered consistency versus natural variability; all waste streams converted to inputs; and compatibility with tribal, municipal, and private deployment without dependency on any single stakeholder group.</w:t>
      </w:r>
    </w:p>
    <w:p>
      <w:pPr>
        <w:pStyle w:val="Heading2"/>
        <w:spacing w:before="300" w:after="120"/>
      </w:pPr>
      <w:r>
        <w:rPr>
          <w:rFonts w:ascii="Arial" w:cs="Arial" w:eastAsia="Arial" w:hAnsi="Arial"/>
          <w:b/>
          <w:bCs/>
          <w:color w:val="2E75B6"/>
          <w:sz w:val="28"/>
          <w:szCs w:val="28"/>
        </w:rPr>
        <w:t xml:space="preserve">4. Why This Design Philosophy Requires Empirical Calibration</w:t>
      </w:r>
    </w:p>
    <w:p>
      <w:pPr>
        <w:spacing w:before="60" w:after="60"/>
      </w:pPr>
      <w:r>
        <w:rPr>
          <w:rFonts w:ascii="Arial" w:cs="Arial" w:eastAsia="Arial" w:hAnsi="Arial"/>
          <w:sz w:val="24"/>
          <w:szCs w:val="24"/>
        </w:rPr>
        <w:t xml:space="preserve">The integrated multi-species hydroponic nutrient-processing system the RRP describes has no direct precedent at this scale. Academic literature provides yield and uptake data for individual species under controlled conditions. It does not provide integrated system performance data for a 13-house rotating crop complex operating on variable-chemistry river water with continuous harvest cadence.</w:t>
      </w:r>
    </w:p>
    <w:p>
      <w:pPr>
        <w:spacing w:before="60" w:after="60"/>
      </w:pPr>
      <w:r>
        <w:rPr>
          <w:rFonts w:ascii="Arial" w:cs="Arial" w:eastAsia="Arial" w:hAnsi="Arial"/>
          <w:sz w:val="24"/>
          <w:szCs w:val="24"/>
        </w:rPr>
        <w:t xml:space="preserve">This is not a gap in the design. It is the founding justification for the pilot. The pilot generates the dataset that calibrates every subsequent node. Until that data exists, all yield and uptake figures are provisional academic proxies, clearly flagged. The design philosophy is correct. The numerical parameters require measurement to confirm.</w:t>
      </w:r>
    </w:p>
    <w:p>
      <w:pPr>
        <w:pStyle w:val="Heading2"/>
        <w:spacing w:before="300" w:after="120"/>
      </w:pPr>
      <w:r>
        <w:rPr>
          <w:rFonts w:ascii="Arial" w:cs="Arial" w:eastAsia="Arial" w:hAnsi="Arial"/>
          <w:b/>
          <w:bCs/>
          <w:color w:val="2E75B6"/>
          <w:sz w:val="28"/>
          <w:szCs w:val="28"/>
        </w:rPr>
        <w:t xml:space="preserve">5. The Fourth Category of Infrastructure</w:t>
      </w:r>
    </w:p>
    <w:p>
      <w:pPr>
        <w:spacing w:before="60" w:after="60"/>
      </w:pPr>
      <w:r>
        <w:rPr>
          <w:rFonts w:ascii="Arial" w:cs="Arial" w:eastAsia="Arial" w:hAnsi="Arial"/>
          <w:sz w:val="24"/>
          <w:szCs w:val="24"/>
        </w:rPr>
        <w:t xml:space="preserve">Most environmental remediation is passive (wetlands, BMPs), reactive (wastewater treatment), or localized (site-specific conservation). The River Refugium Project introduces a fourth category: proactive, regenerative, revenue-generating, watershed-scale nutrient interception infrastructure. It is an engineered system designed to operate where natural systems cannot scale and where traditional utilities cannot shoulder the burden. It converts the problem itself — polluted water — into the feedstock for a productive industry.</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U.S. Geological Survey, Nutrient Loads and Trends in Major U.S. Rivers. National Water-Quality Assessment Program, print edition.</w:t>
      </w:r>
    </w:p>
    <w:p>
      <w:pPr>
        <w:spacing w:before="40" w:after="40"/>
        <w:ind w:left="360"/>
      </w:pPr>
      <w:r>
        <w:rPr>
          <w:rFonts w:ascii="Arial" w:cs="Arial" w:eastAsia="Arial" w:hAnsi="Arial"/>
          <w:i/>
          <w:iCs/>
          <w:color w:val="666666"/>
          <w:sz w:val="20"/>
          <w:szCs w:val="20"/>
        </w:rPr>
        <w:t xml:space="preserve">2. USDA Conservation Effects Assessment Project (CEAP), national reports on agricultural nutrient runoff.</w:t>
      </w:r>
    </w:p>
    <w:p>
      <w:pPr>
        <w:spacing w:before="40" w:after="40"/>
        <w:ind w:left="360"/>
      </w:pPr>
      <w:r>
        <w:rPr>
          <w:rFonts w:ascii="Arial" w:cs="Arial" w:eastAsia="Arial" w:hAnsi="Arial"/>
          <w:i/>
          <w:iCs/>
          <w:color w:val="666666"/>
          <w:sz w:val="20"/>
          <w:szCs w:val="20"/>
        </w:rPr>
        <w:t xml:space="preserve">3. U.S. EPA, Gulf Hypoxia Action Plan; USGS Mississippi River Basin Nutrient Flux Assessment.</w:t>
      </w:r>
    </w:p>
    <w:p>
      <w:pPr>
        <w:spacing w:before="40" w:after="40"/>
        <w:ind w:left="360"/>
      </w:pPr>
      <w:r>
        <w:rPr>
          <w:rFonts w:ascii="Arial" w:cs="Arial" w:eastAsia="Arial" w:hAnsi="Arial"/>
          <w:i/>
          <w:iCs/>
          <w:color w:val="666666"/>
          <w:sz w:val="20"/>
          <w:szCs w:val="20"/>
        </w:rPr>
        <w:t xml:space="preserve">4. Mitsch, W.J. and Gosselink, J.G., Wetlands, 5th ed. (Hoboken: Wiley, 2015).</w:t>
      </w:r>
    </w:p>
    <w:p>
      <w:pPr>
        <w:spacing w:before="40" w:after="40"/>
        <w:ind w:left="360"/>
      </w:pPr>
      <w:r>
        <w:rPr>
          <w:rFonts w:ascii="Arial" w:cs="Arial" w:eastAsia="Arial" w:hAnsi="Arial"/>
          <w:i/>
          <w:iCs/>
          <w:color w:val="666666"/>
          <w:sz w:val="20"/>
          <w:szCs w:val="20"/>
        </w:rPr>
        <w:t xml:space="preserve">5. U.S. EPA, Integrated Water Quality Reports; limitations of municipal wastewater infrastructure for non-point-source control.</w:t>
      </w:r>
    </w:p>
    <w:p>
      <w:pPr>
        <w:spacing w:before="40" w:after="40"/>
        <w:ind w:left="360"/>
      </w:pPr>
      <w:r>
        <w:rPr>
          <w:rFonts w:ascii="Arial" w:cs="Arial" w:eastAsia="Arial" w:hAnsi="Arial"/>
          <w:i/>
          <w:iCs/>
          <w:color w:val="666666"/>
          <w:sz w:val="20"/>
          <w:szCs w:val="20"/>
        </w:rPr>
        <w:t xml:space="preserve">6. USDA NRCS, "Conservation Practices Technical Manual," field-scale BMP efficacy.</w:t>
      </w:r>
    </w:p>
    <w:p>
      <w:pPr>
        <w:spacing w:before="40" w:after="40"/>
        <w:ind w:left="360"/>
      </w:pPr>
      <w:r>
        <w:rPr>
          <w:rFonts w:ascii="Arial" w:cs="Arial" w:eastAsia="Arial" w:hAnsi="Arial"/>
          <w:i/>
          <w:iCs/>
          <w:color w:val="666666"/>
          <w:sz w:val="20"/>
          <w:szCs w:val="20"/>
        </w:rPr>
        <w:t xml:space="preserve">7. Bright Meadow Group, "RRP6 — Economic &amp; Deployment Model," Version 2.0. CF/BMG, 01 April 2026.</w:t>
      </w:r>
    </w:p>
    <w:p>
      <w:pPr>
        <w:spacing w:before="40" w:after="40"/>
        <w:ind w:left="360"/>
      </w:pPr>
      <w:r>
        <w:rPr>
          <w:rFonts w:ascii="Arial" w:cs="Arial" w:eastAsia="Arial" w:hAnsi="Arial"/>
          <w:i/>
          <w:iCs/>
          <w:color w:val="666666"/>
          <w:sz w:val="20"/>
          <w:szCs w:val="20"/>
        </w:rPr>
        <w:t xml:space="preserve">8. Mata, T.M., Martins, A.A., and Caetano, N.S., "Microalgae for Biodiesel Production and Other Applications," Renewable and Sustainable Energy Reviews 14 (2010): 217–232. ⚑ Provisional — pending pilot data.</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RRP2  |  RRP0002.3</w:t>
            </w:r>
          </w:p>
          <w:p>
            <w:pPr>
              <w:spacing w:before="0" w:after="0"/>
            </w:pPr>
            <w:r>
              <w:rPr>
                <w:rFonts w:ascii="Arial" w:cs="Arial" w:eastAsia="Arial" w:hAnsi="Arial"/>
                <w:b/>
                <w:bCs/>
                <w:color w:val="FFFFFF"/>
                <w:sz w:val="36"/>
                <w:szCs w:val="36"/>
              </w:rPr>
              <w:t xml:space="preserve">System Architecture Overview</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The River Refugium Project is built as an interlocking architecture of hydraulic, biological, thermal, and industrial subsystems that together form a single, unified nutrient-removal and biomass-production engine. This document describes the system as executives, engineers, and capital partners must jointly understand it: in terms of major functional blocks, how those blocks communicate, and why the architecture works as a regenerative industrial system. The five-zone model, closed-loop logic, and hub-and-spoke cluster architecture are documented here at the level required for cross-disciplinary review.</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1. System Overview</w:t>
      </w:r>
    </w:p>
    <w:p>
      <w:pPr>
        <w:spacing w:before="60" w:after="60"/>
      </w:pPr>
      <w:r>
        <w:rPr>
          <w:rFonts w:ascii="Arial" w:cs="Arial" w:eastAsia="Arial" w:hAnsi="Arial"/>
          <w:sz w:val="24"/>
          <w:szCs w:val="24"/>
        </w:rPr>
        <w:t xml:space="preserve">At the highest level, an RRP node processes river water through five architectural zones: hydraulic intake and stabilization; biological processing (biofiltration); phase separation (evaporation greenhouse); biomass production (greenhouse complex); and thermochemical conversion (HTC/HTL plant). Each zone delivers water, materials, energy, or data to the next with minimal loss and maximal reuse. Viewed as a whole, the system behaves like a closed-loop factory whose raw material is polluted water and whose outputs are clean water, biomass, fuels, and carbon-sequestering solids.</w:t>
      </w:r>
    </w:p>
    <w:p>
      <w:pPr>
        <w:pStyle w:val="Heading2"/>
        <w:spacing w:before="300" w:after="120"/>
      </w:pPr>
      <w:r>
        <w:rPr>
          <w:rFonts w:ascii="Arial" w:cs="Arial" w:eastAsia="Arial" w:hAnsi="Arial"/>
          <w:b/>
          <w:bCs/>
          <w:color w:val="2E75B6"/>
          <w:sz w:val="28"/>
          <w:szCs w:val="28"/>
        </w:rPr>
        <w:t xml:space="preserve">2. Zone One: Hydraulic Intake &amp; Stabilization</w:t>
      </w:r>
    </w:p>
    <w:p>
      <w:pPr>
        <w:spacing w:before="60" w:after="60"/>
      </w:pPr>
      <w:r>
        <w:rPr>
          <w:rFonts w:ascii="Arial" w:cs="Arial" w:eastAsia="Arial" w:hAnsi="Arial"/>
          <w:sz w:val="24"/>
          <w:szCs w:val="24"/>
        </w:rPr>
        <w:t xml:space="preserve">Water enters through a protected forebay, which buffers fluctuating river levels, settles coarse sediments, excludes debris, and provides a measurable inflow point. From the forebay, variable-frequency drive pumps with redundant trains lift water into the system. A gravity-fed water tower, where deployed, provides backup hydraulic head, passive aeration, and surge protection.</w:t>
      </w:r>
    </w:p>
    <w:p>
      <w:pPr>
        <w:spacing w:before="60" w:after="60"/>
      </w:pPr>
      <w:r>
        <w:rPr>
          <w:rFonts w:ascii="Arial" w:cs="Arial" w:eastAsia="Arial" w:hAnsi="Arial"/>
          <w:sz w:val="24"/>
          <w:szCs w:val="24"/>
        </w:rPr>
        <w:t xml:space="preserve">The central cistern acts as the hydraulic brain — a volume buffer holding approximately three times daily throughput. It is the primary analytical checkpoint for chemistry, flow, and solids characterization, and the dispatch hub routing water into biofiltration. Its function is to regulate system tempo so downstream stages receive water on predictable cycles.</w:t>
      </w:r>
    </w:p>
    <w:p>
      <w:pPr>
        <w:pStyle w:val="Heading2"/>
        <w:spacing w:before="300" w:after="120"/>
      </w:pPr>
      <w:r>
        <w:rPr>
          <w:rFonts w:ascii="Arial" w:cs="Arial" w:eastAsia="Arial" w:hAnsi="Arial"/>
          <w:b/>
          <w:bCs/>
          <w:color w:val="2E75B6"/>
          <w:sz w:val="28"/>
          <w:szCs w:val="28"/>
        </w:rPr>
        <w:t xml:space="preserve">3. Zone Two: Biological Processing</w:t>
      </w:r>
    </w:p>
    <w:p>
      <w:pPr>
        <w:spacing w:before="60" w:after="60"/>
      </w:pPr>
      <w:r>
        <w:rPr>
          <w:rFonts w:ascii="Arial" w:cs="Arial" w:eastAsia="Arial" w:hAnsi="Arial"/>
          <w:sz w:val="24"/>
          <w:szCs w:val="24"/>
        </w:rPr>
        <w:t xml:space="preserve">The six-tank biofiltration sequence is where the river's nutrient load begins its transformation. Four aerobic tanks perform nitrification, organic oxidation, and suspended-solids reduction. Two anaerobic tanks complete the nitrogen cycle through denitrification. This mirrors natural wetland nitrogen cycling but delivers it year-round in a controlled, measurable, programmable environment.</w:t>
      </w:r>
    </w:p>
    <w:p>
      <w:pPr>
        <w:pStyle w:val="Heading2"/>
        <w:spacing w:before="300" w:after="120"/>
      </w:pPr>
      <w:r>
        <w:rPr>
          <w:rFonts w:ascii="Arial" w:cs="Arial" w:eastAsia="Arial" w:hAnsi="Arial"/>
          <w:b/>
          <w:bCs/>
          <w:color w:val="2E75B6"/>
          <w:sz w:val="28"/>
          <w:szCs w:val="28"/>
        </w:rPr>
        <w:t xml:space="preserve">4. Zone Three: Phase Separation</w:t>
      </w:r>
    </w:p>
    <w:p>
      <w:pPr>
        <w:spacing w:before="60" w:after="60"/>
      </w:pPr>
      <w:r>
        <w:rPr>
          <w:rFonts w:ascii="Arial" w:cs="Arial" w:eastAsia="Arial" w:hAnsi="Arial"/>
          <w:sz w:val="24"/>
          <w:szCs w:val="24"/>
        </w:rPr>
        <w:t xml:space="preserve">The evaporation greenhouse concentrates nutrients and solids by encouraging controlled evaporation of clean water vapor, which is condensed and reclaimed. Process heat from the thermochemical plant increases efficiency. This zone has operational characteristics that measurably improve the performance of downstream zones — full quantification awaits pilot testing.</w:t>
      </w:r>
    </w:p>
    <w:p>
      <w:pPr>
        <w:pStyle w:val="Heading2"/>
        <w:spacing w:before="300" w:after="120"/>
      </w:pPr>
      <w:r>
        <w:rPr>
          <w:rFonts w:ascii="Arial" w:cs="Arial" w:eastAsia="Arial" w:hAnsi="Arial"/>
          <w:b/>
          <w:bCs/>
          <w:color w:val="2E75B6"/>
          <w:sz w:val="28"/>
          <w:szCs w:val="28"/>
        </w:rPr>
        <w:t xml:space="preserve">5. Zone Four: Biomass Production</w:t>
      </w:r>
    </w:p>
    <w:p>
      <w:pPr>
        <w:spacing w:before="60" w:after="60"/>
      </w:pPr>
      <w:r>
        <w:rPr>
          <w:rFonts w:ascii="Arial" w:cs="Arial" w:eastAsia="Arial" w:hAnsi="Arial"/>
          <w:sz w:val="24"/>
          <w:szCs w:val="24"/>
        </w:rPr>
        <w:t xml:space="preserve">Thirteen production greenhouses convert the concentrated nutrient feed into algae, textile fibers, biomass grasses, and coppice species. A PLC-controlled routing grid matches nutrient chemistry to crop demand curves, maximizing uptake and stabilizing flow. Each greenhouse is a physically isolated controlled-environment subunit with independent maintenance cycles, climate control, and hydraulic connections. The modular design means houses can be added, removed, or repurposed without altering the overall architecture.</w:t>
      </w:r>
    </w:p>
    <w:p>
      <w:pPr>
        <w:spacing w:before="60" w:after="60"/>
      </w:pPr>
      <w:r>
        <w:rPr>
          <w:rFonts w:ascii="Arial" w:cs="Arial" w:eastAsia="Arial" w:hAnsi="Arial"/>
          <w:sz w:val="24"/>
          <w:szCs w:val="24"/>
        </w:rPr>
        <w:t xml:space="preserve">Key production parameters — biomass yield per house per cycle, nutrient uptake rates by crop type, and seasonal variation — are provisional academic proxies in the current financial model. ⚑ These will be replaced by measured values from the pilot. See RRP6 for the modular slot framework and RRP8 for the pilot data collection protocol.</w:t>
      </w:r>
    </w:p>
    <w:p>
      <w:pPr>
        <w:pStyle w:val="Heading2"/>
        <w:spacing w:before="300" w:after="120"/>
      </w:pPr>
      <w:r>
        <w:rPr>
          <w:rFonts w:ascii="Arial" w:cs="Arial" w:eastAsia="Arial" w:hAnsi="Arial"/>
          <w:b/>
          <w:bCs/>
          <w:color w:val="2E75B6"/>
          <w:sz w:val="28"/>
          <w:szCs w:val="28"/>
        </w:rPr>
        <w:t xml:space="preserve">6. Zone Five: Thermochemical Conversion</w:t>
      </w:r>
    </w:p>
    <w:p>
      <w:pPr>
        <w:spacing w:before="60" w:after="60"/>
      </w:pPr>
      <w:r>
        <w:rPr>
          <w:rFonts w:ascii="Arial" w:cs="Arial" w:eastAsia="Arial" w:hAnsi="Arial"/>
          <w:sz w:val="24"/>
          <w:szCs w:val="24"/>
        </w:rPr>
        <w:t xml:space="preserve">All biomass — algae, plant residues, root masses, sludge — is converted on-site (Model A) or at a regional hub (Model B) into bio-crude, hydrochar, and recyclable aqueous phase, with off-gases captured for heating and CO₂ enrichment. This closes the carbon loop and handles all accumulated biomass without requiring drying.</w:t>
      </w:r>
    </w:p>
    <w:p>
      <w:pPr>
        <w:pStyle w:val="Heading2"/>
        <w:spacing w:before="300" w:after="120"/>
      </w:pPr>
      <w:r>
        <w:rPr>
          <w:rFonts w:ascii="Arial" w:cs="Arial" w:eastAsia="Arial" w:hAnsi="Arial"/>
          <w:b/>
          <w:bCs/>
          <w:color w:val="2E75B6"/>
          <w:sz w:val="28"/>
          <w:szCs w:val="28"/>
        </w:rPr>
        <w:t xml:space="preserve">7. Clean-Water Return</w:t>
      </w:r>
    </w:p>
    <w:p>
      <w:pPr>
        <w:spacing w:before="60" w:after="60"/>
      </w:pPr>
      <w:r>
        <w:rPr>
          <w:rFonts w:ascii="Arial" w:cs="Arial" w:eastAsia="Arial" w:hAnsi="Arial"/>
          <w:sz w:val="24"/>
          <w:szCs w:val="24"/>
        </w:rPr>
        <w:t xml:space="preserve">Approximately 55% of intake water is returned to the river as clean, tested outflow. The remainder is locked into biomass or lost to evapotranspiration. This provides measurable, verifiable nutrient reduction at watershed scale. ⚑</w:t>
      </w:r>
    </w:p>
    <w:p>
      <w:pPr>
        <w:pStyle w:val="Heading2"/>
        <w:spacing w:before="300" w:after="120"/>
      </w:pPr>
      <w:r>
        <w:rPr>
          <w:rFonts w:ascii="Arial" w:cs="Arial" w:eastAsia="Arial" w:hAnsi="Arial"/>
          <w:b/>
          <w:bCs/>
          <w:color w:val="2E75B6"/>
          <w:sz w:val="28"/>
          <w:szCs w:val="28"/>
        </w:rPr>
        <w:t xml:space="preserve">8. Hub-and-Spoke Cluster Architecture</w:t>
      </w:r>
    </w:p>
    <w:p>
      <w:pPr>
        <w:spacing w:before="60" w:after="60"/>
      </w:pPr>
      <w:r>
        <w:rPr>
          <w:rFonts w:ascii="Arial" w:cs="Arial" w:eastAsia="Arial" w:hAnsi="Arial"/>
          <w:sz w:val="24"/>
          <w:szCs w:val="24"/>
        </w:rPr>
        <w:t xml:space="preserve">At the deployment level, the system operates as a hub-and-spoke cluster: one Model A integrated node serves as the regional processing hub, receiving biomass from 5–10 Model B biological satellite nodes. The hub reactor runs at steady-state throughput regardless of any individual satellite's seasonal variation. This is the designed minimum operating configuration — not a growth ambition. Cluster size is determined by pilot data. See RRP6 for full cluster architecture documentation.</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Bright Meadow Group, "RRP Systems Architecture Board Draft." CF/BMG Internal, 2025.</w:t>
      </w:r>
    </w:p>
    <w:p>
      <w:pPr>
        <w:spacing w:before="40" w:after="40"/>
        <w:ind w:left="360"/>
      </w:pPr>
      <w:r>
        <w:rPr>
          <w:rFonts w:ascii="Arial" w:cs="Arial" w:eastAsia="Arial" w:hAnsi="Arial"/>
          <w:i/>
          <w:iCs/>
          <w:color w:val="666666"/>
          <w:sz w:val="20"/>
          <w:szCs w:val="20"/>
        </w:rPr>
        <w:t xml:space="preserve">2. USACE, Riverine Intake Design Notes; Bright Meadow Group, "Forebay Analysis." CF/BMG Internal, 2025.</w:t>
      </w:r>
    </w:p>
    <w:p>
      <w:pPr>
        <w:spacing w:before="40" w:after="40"/>
        <w:ind w:left="360"/>
      </w:pPr>
      <w:r>
        <w:rPr>
          <w:rFonts w:ascii="Arial" w:cs="Arial" w:eastAsia="Arial" w:hAnsi="Arial"/>
          <w:i/>
          <w:iCs/>
          <w:color w:val="666666"/>
          <w:sz w:val="20"/>
          <w:szCs w:val="20"/>
        </w:rPr>
        <w:t xml:space="preserve">3. Bright Meadow Group, "Central Cistern Control and Buffering Logic." BMG Hydraulic Blueprint, 2025.</w:t>
      </w:r>
    </w:p>
    <w:p>
      <w:pPr>
        <w:spacing w:before="40" w:after="40"/>
        <w:ind w:left="360"/>
      </w:pPr>
      <w:r>
        <w:rPr>
          <w:rFonts w:ascii="Arial" w:cs="Arial" w:eastAsia="Arial" w:hAnsi="Arial"/>
          <w:i/>
          <w:iCs/>
          <w:color w:val="666666"/>
          <w:sz w:val="20"/>
          <w:szCs w:val="20"/>
        </w:rPr>
        <w:t xml:space="preserve">4. U.S. EPA, Nutrient Removal — Biological and Tertiary Processes. EPA/625/R-10/001, print edition.</w:t>
      </w:r>
    </w:p>
    <w:p>
      <w:pPr>
        <w:spacing w:before="40" w:after="40"/>
        <w:ind w:left="360"/>
      </w:pPr>
      <w:r>
        <w:rPr>
          <w:rFonts w:ascii="Arial" w:cs="Arial" w:eastAsia="Arial" w:hAnsi="Arial"/>
          <w:i/>
          <w:iCs/>
          <w:color w:val="666666"/>
          <w:sz w:val="20"/>
          <w:szCs w:val="20"/>
        </w:rPr>
        <w:t xml:space="preserve">5. Bright Meadow Group, "Evaporation Greenhouse Thermal Model." BMG Phase Separation Concept, 2025.</w:t>
      </w:r>
    </w:p>
    <w:p>
      <w:pPr>
        <w:spacing w:before="40" w:after="40"/>
        <w:ind w:left="360"/>
      </w:pPr>
      <w:r>
        <w:rPr>
          <w:rFonts w:ascii="Arial" w:cs="Arial" w:eastAsia="Arial" w:hAnsi="Arial"/>
          <w:i/>
          <w:iCs/>
          <w:color w:val="666666"/>
          <w:sz w:val="20"/>
          <w:szCs w:val="20"/>
        </w:rPr>
        <w:t xml:space="preserve">6. Bright Meadow Group, "Nutrient Routing Grid." CF/BMG SCADA Engineering Notes, 2025.</w:t>
      </w:r>
    </w:p>
    <w:p>
      <w:pPr>
        <w:spacing w:before="40" w:after="40"/>
        <w:ind w:left="360"/>
      </w:pPr>
      <w:r>
        <w:rPr>
          <w:rFonts w:ascii="Arial" w:cs="Arial" w:eastAsia="Arial" w:hAnsi="Arial"/>
          <w:i/>
          <w:iCs/>
          <w:color w:val="666666"/>
          <w:sz w:val="20"/>
          <w:szCs w:val="20"/>
        </w:rPr>
        <w:t xml:space="preserve">7. Bright Meadow Group, "RRP5 — HTC/HTL Thermochemical Processing," Version 2.0. CF/BMG, 01 April 2026.</w:t>
      </w:r>
    </w:p>
    <w:p>
      <w:pPr>
        <w:spacing w:before="40" w:after="40"/>
        <w:ind w:left="360"/>
      </w:pPr>
      <w:r>
        <w:rPr>
          <w:rFonts w:ascii="Arial" w:cs="Arial" w:eastAsia="Arial" w:hAnsi="Arial"/>
          <w:i/>
          <w:iCs/>
          <w:color w:val="666666"/>
          <w:sz w:val="20"/>
          <w:szCs w:val="20"/>
        </w:rPr>
        <w:t xml:space="preserve">8. Bright Meadow Group, "RRP Water Balance Model." Internal performance estimate for 168,000 GPD node, 2025.</w:t>
      </w:r>
    </w:p>
    <w:p>
      <w:pPr>
        <w:spacing w:before="40" w:after="40"/>
        <w:ind w:left="360"/>
      </w:pPr>
      <w:r>
        <w:rPr>
          <w:rFonts w:ascii="Arial" w:cs="Arial" w:eastAsia="Arial" w:hAnsi="Arial"/>
          <w:i/>
          <w:iCs/>
          <w:color w:val="666666"/>
          <w:sz w:val="20"/>
          <w:szCs w:val="20"/>
        </w:rPr>
        <w:t xml:space="preserve">9. Bright Meadow Group, "RRP6 — Economic &amp; Deployment Model," Version 2.0. Section 4, Hub-and-Spoke Cluster Architecture.</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RRP3  |  RRP0002.4</w:t>
            </w:r>
          </w:p>
          <w:p>
            <w:pPr>
              <w:spacing w:before="0" w:after="0"/>
            </w:pPr>
            <w:r>
              <w:rPr>
                <w:rFonts w:ascii="Arial" w:cs="Arial" w:eastAsia="Arial" w:hAnsi="Arial"/>
                <w:b/>
                <w:bCs/>
                <w:color w:val="FFFFFF"/>
                <w:sz w:val="36"/>
                <w:szCs w:val="36"/>
              </w:rPr>
              <w:t xml:space="preserve">Water Treatment &amp; Biofiltration</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This document describes the water treatment and biofiltration architecture of the River Refugium Project — the first functional engine of the system, where river water transitions from uncontrolled natural flow into a structured, measurable industrial process. The forebay intake, pump house, central cistern, six-tank biofiltration train, solids handling, and off-gas management are described in terms of their architecture, engineering rationale, and role within the integrated node. Key quantitative parameters are flagged as provisional ⚑ pending pilot data collection.</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1. Forebay Intake</w:t>
      </w:r>
    </w:p>
    <w:p>
      <w:pPr>
        <w:spacing w:before="60" w:after="60"/>
      </w:pPr>
      <w:r>
        <w:rPr>
          <w:rFonts w:ascii="Arial" w:cs="Arial" w:eastAsia="Arial" w:hAnsi="Arial"/>
          <w:sz w:val="24"/>
          <w:szCs w:val="24"/>
        </w:rPr>
        <w:t xml:space="preserve">The forebay is the RRP's hydraulic gateway — a protected capture pool that draws river water into the system at a controlled, measurable rate. It performs sediment and debris pre-removal through settling and coarse screening, hydraulic buffering against river level fluctuations, and provides a clean inflow measurement point.</w:t>
      </w:r>
    </w:p>
    <w:p>
      <w:pPr>
        <w:pStyle w:val="Heading2"/>
        <w:spacing w:before="300" w:after="120"/>
      </w:pPr>
      <w:r>
        <w:rPr>
          <w:rFonts w:ascii="Arial" w:cs="Arial" w:eastAsia="Arial" w:hAnsi="Arial"/>
          <w:b/>
          <w:bCs/>
          <w:color w:val="2E75B6"/>
          <w:sz w:val="28"/>
          <w:szCs w:val="28"/>
        </w:rPr>
        <w:t xml:space="preserve">2. Pump House &amp; Flow Architecture</w:t>
      </w:r>
    </w:p>
    <w:p>
      <w:pPr>
        <w:spacing w:before="60" w:after="60"/>
      </w:pPr>
      <w:r>
        <w:rPr>
          <w:rFonts w:ascii="Arial" w:cs="Arial" w:eastAsia="Arial" w:hAnsi="Arial"/>
          <w:sz w:val="24"/>
          <w:szCs w:val="24"/>
        </w:rPr>
        <w:t xml:space="preserve">From the forebay, variable-frequency drive pumps with redundant trains (N+1 minimum) move water into the controlled zone. In some deployments a gravity-fed water tower provides backup hydraulic head, passive aeration, and surge absorption. This increases resilience during power interruptions without adding operational complexity.</w:t>
      </w:r>
    </w:p>
    <w:p>
      <w:pPr>
        <w:pStyle w:val="Heading2"/>
        <w:spacing w:before="300" w:after="120"/>
      </w:pPr>
      <w:r>
        <w:rPr>
          <w:rFonts w:ascii="Arial" w:cs="Arial" w:eastAsia="Arial" w:hAnsi="Arial"/>
          <w:b/>
          <w:bCs/>
          <w:color w:val="2E75B6"/>
          <w:sz w:val="28"/>
          <w:szCs w:val="28"/>
        </w:rPr>
        <w:t xml:space="preserve">3. Central Cistern</w:t>
      </w:r>
    </w:p>
    <w:p>
      <w:pPr>
        <w:spacing w:before="60" w:after="60"/>
      </w:pPr>
      <w:r>
        <w:rPr>
          <w:rFonts w:ascii="Arial" w:cs="Arial" w:eastAsia="Arial" w:hAnsi="Arial"/>
          <w:sz w:val="24"/>
          <w:szCs w:val="24"/>
        </w:rPr>
        <w:t xml:space="preserve">The cistern is the hydraulic brain of the node — a volume buffer sized to hold approximately three times daily throughput. It acts as a central testing node for chemistry, flow, and solids characterization, and as a dispatch hub routing water into the biofiltration sequence. Its role is analogous to a clock: it regulates the system's internal tempo so downstream stages receive water on predictable cycles.</w:t>
      </w:r>
    </w:p>
    <w:p>
      <w:pPr>
        <w:spacing w:before="60" w:after="60"/>
      </w:pPr>
      <w:r>
        <w:rPr>
          <w:rFonts w:ascii="Arial" w:cs="Arial" w:eastAsia="Arial" w:hAnsi="Arial"/>
          <w:sz w:val="24"/>
          <w:szCs w:val="24"/>
        </w:rPr>
        <w:t xml:space="preserve">Key parameter — cistern capacity: ⚑ TBD pending site engineering and pilot calibration.</w:t>
      </w:r>
    </w:p>
    <w:p>
      <w:pPr>
        <w:pStyle w:val="Heading2"/>
        <w:spacing w:before="300" w:after="120"/>
      </w:pPr>
      <w:r>
        <w:rPr>
          <w:rFonts w:ascii="Arial" w:cs="Arial" w:eastAsia="Arial" w:hAnsi="Arial"/>
          <w:b/>
          <w:bCs/>
          <w:color w:val="2E75B6"/>
          <w:sz w:val="28"/>
          <w:szCs w:val="28"/>
        </w:rPr>
        <w:t xml:space="preserve">4. Six-Tank Biofiltration Train</w:t>
      </w:r>
    </w:p>
    <w:p>
      <w:pPr>
        <w:spacing w:before="60" w:after="60"/>
      </w:pPr>
      <w:r>
        <w:rPr>
          <w:rFonts w:ascii="Arial" w:cs="Arial" w:eastAsia="Arial" w:hAnsi="Arial"/>
          <w:sz w:val="24"/>
          <w:szCs w:val="24"/>
        </w:rPr>
        <w:t xml:space="preserve">The biofiltration block performs biological nutrient processing at industrial scale through a six-tank sequence: four aerobic tanks for nitrification and organic processing, and two anaerobic tanks for denitrification. This mirrors the nitrogen cycle found in natural wetlands but delivers it year-round in a controlled, measurable, programmable environment.</w:t>
      </w:r>
    </w:p>
    <w:p>
      <w:pPr>
        <w:pStyle w:val="Heading3"/>
        <w:spacing w:before="200" w:after="80"/>
      </w:pPr>
      <w:r>
        <w:rPr>
          <w:rFonts w:ascii="Arial" w:cs="Arial" w:eastAsia="Arial" w:hAnsi="Arial"/>
          <w:b/>
          <w:bCs/>
          <w:color w:val="404040"/>
          <w:sz w:val="26"/>
          <w:szCs w:val="26"/>
        </w:rPr>
        <w:t xml:space="preserve">4.1 Aerobic Tanks</w:t>
      </w:r>
    </w:p>
    <w:p>
      <w:pPr>
        <w:spacing w:before="60" w:after="60"/>
      </w:pPr>
      <w:r>
        <w:rPr>
          <w:rFonts w:ascii="Arial" w:cs="Arial" w:eastAsia="Arial" w:hAnsi="Arial"/>
          <w:sz w:val="24"/>
          <w:szCs w:val="24"/>
        </w:rPr>
        <w:t xml:space="preserve">The aerobic tanks convert ammonia to nitrite to nitrate, oxidize dissolved organics, reduce biochemical oxygen demand, break apart suspended solids, and promote flocculation. Oxygen levels are managed via dissolved oxygen sensors tied to the SCADA/PLC system. Aeration is non-wasteful — the system does not run blowers at fixed rates but responds to actual demand.</w:t>
      </w:r>
    </w:p>
    <w:p>
      <w:pPr>
        <w:pStyle w:val="Heading3"/>
        <w:spacing w:before="200" w:after="80"/>
      </w:pPr>
      <w:r>
        <w:rPr>
          <w:rFonts w:ascii="Arial" w:cs="Arial" w:eastAsia="Arial" w:hAnsi="Arial"/>
          <w:b/>
          <w:bCs/>
          <w:color w:val="404040"/>
          <w:sz w:val="26"/>
          <w:szCs w:val="26"/>
        </w:rPr>
        <w:t xml:space="preserve">4.2 Anaerobic Tanks</w:t>
      </w:r>
    </w:p>
    <w:p>
      <w:pPr>
        <w:spacing w:before="60" w:after="60"/>
      </w:pPr>
      <w:r>
        <w:rPr>
          <w:rFonts w:ascii="Arial" w:cs="Arial" w:eastAsia="Arial" w:hAnsi="Arial"/>
          <w:sz w:val="24"/>
          <w:szCs w:val="24"/>
        </w:rPr>
        <w:t xml:space="preserve">The anaerobic tanks complete the nitrogen cycle by converting nitrate to nitrogen gas under oxygen-starved conditions. They operate in a separate hydraulic loop from the aerobic sequence and can be isolated individually without interrupting overall flow.</w:t>
      </w:r>
    </w:p>
    <w:p>
      <w:pPr>
        <w:spacing w:before="60" w:after="60"/>
      </w:pPr>
      <w:r>
        <w:rPr>
          <w:rFonts w:ascii="Arial" w:cs="Arial" w:eastAsia="Arial" w:hAnsi="Arial"/>
          <w:sz w:val="24"/>
          <w:szCs w:val="24"/>
        </w:rPr>
        <w:t xml:space="preserve">Key parameters — hydraulic residence time per tank, loading rates, target effluent quality per stage: ⚑ TBD pending pilot measurement and engineering drawings.</w:t>
      </w:r>
    </w:p>
    <w:p>
      <w:pPr>
        <w:pStyle w:val="Heading2"/>
        <w:spacing w:before="300" w:after="120"/>
      </w:pPr>
      <w:r>
        <w:rPr>
          <w:rFonts w:ascii="Arial" w:cs="Arial" w:eastAsia="Arial" w:hAnsi="Arial"/>
          <w:b/>
          <w:bCs/>
          <w:color w:val="2E75B6"/>
          <w:sz w:val="28"/>
          <w:szCs w:val="28"/>
        </w:rPr>
        <w:t xml:space="preserve">5. Solids Handling &amp; Off-Gas Management</w:t>
      </w:r>
    </w:p>
    <w:p>
      <w:pPr>
        <w:spacing w:before="60" w:after="60"/>
      </w:pPr>
      <w:r>
        <w:rPr>
          <w:rFonts w:ascii="Arial" w:cs="Arial" w:eastAsia="Arial" w:hAnsi="Arial"/>
          <w:sz w:val="24"/>
          <w:szCs w:val="24"/>
        </w:rPr>
        <w:t xml:space="preserve">Settled solids from the biofiltration train are routed to the biomass preparation module for HTC/HTL processing — the same pathway as greenhouse biomass harvest, ensuring no accumulating waste streams. Off-gases (CO₂-rich, some methane fraction) are captured and routed back to the greenhouse complex for enrichment and as a partial energy input to the thermochemical plant. See RRP5 for the thermochemical integration of these streams.</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USACE, River Intake &amp; Forebay Design Standards; Bright Meadow Group, "Intake Architecture Notes," CF/BMG Internal, 2025.</w:t>
      </w:r>
    </w:p>
    <w:p>
      <w:pPr>
        <w:spacing w:before="40" w:after="40"/>
        <w:ind w:left="360"/>
      </w:pPr>
      <w:r>
        <w:rPr>
          <w:rFonts w:ascii="Arial" w:cs="Arial" w:eastAsia="Arial" w:hAnsi="Arial"/>
          <w:i/>
          <w:iCs/>
          <w:color w:val="666666"/>
          <w:sz w:val="20"/>
          <w:szCs w:val="20"/>
        </w:rPr>
        <w:t xml:space="preserve">2. Bright Meadow Group, "Pump House Redundancy &amp; VFD Logic," CF/BMG Hydraulic Team Draft, 2025.</w:t>
      </w:r>
    </w:p>
    <w:p>
      <w:pPr>
        <w:spacing w:before="40" w:after="40"/>
        <w:ind w:left="360"/>
      </w:pPr>
      <w:r>
        <w:rPr>
          <w:rFonts w:ascii="Arial" w:cs="Arial" w:eastAsia="Arial" w:hAnsi="Arial"/>
          <w:i/>
          <w:iCs/>
          <w:color w:val="666666"/>
          <w:sz w:val="20"/>
          <w:szCs w:val="20"/>
        </w:rPr>
        <w:t xml:space="preserve">3. Bright Meadow Group, "Central Cistern Analytical Protocol," CF/BMG Water Quality Framework, 2025.</w:t>
      </w:r>
    </w:p>
    <w:p>
      <w:pPr>
        <w:spacing w:before="40" w:after="40"/>
        <w:ind w:left="360"/>
      </w:pPr>
      <w:r>
        <w:rPr>
          <w:rFonts w:ascii="Arial" w:cs="Arial" w:eastAsia="Arial" w:hAnsi="Arial"/>
          <w:i/>
          <w:iCs/>
          <w:color w:val="666666"/>
          <w:sz w:val="20"/>
          <w:szCs w:val="20"/>
        </w:rPr>
        <w:t xml:space="preserve">4. U.S. EPA, Nutrient Removal — Biological and Tertiary Processes. EPA/625/R-10/001. Adapted for RRP six-tank configuration.</w:t>
      </w:r>
    </w:p>
    <w:p>
      <w:pPr>
        <w:spacing w:before="40" w:after="40"/>
        <w:ind w:left="360"/>
      </w:pPr>
      <w:r>
        <w:rPr>
          <w:rFonts w:ascii="Arial" w:cs="Arial" w:eastAsia="Arial" w:hAnsi="Arial"/>
          <w:i/>
          <w:iCs/>
          <w:color w:val="666666"/>
          <w:sz w:val="20"/>
          <w:szCs w:val="20"/>
        </w:rPr>
        <w:t xml:space="preserve">5. Bright Meadow Group, "Sludge Management &amp; Solids Routing," RRP Process Integration, 2025.</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RRP4  |  RRP0002.5</w:t>
            </w:r>
          </w:p>
          <w:p>
            <w:pPr>
              <w:spacing w:before="0" w:after="0"/>
            </w:pPr>
            <w:r>
              <w:rPr>
                <w:rFonts w:ascii="Arial" w:cs="Arial" w:eastAsia="Arial" w:hAnsi="Arial"/>
                <w:b/>
                <w:bCs/>
                <w:color w:val="FFFFFF"/>
                <w:sz w:val="36"/>
                <w:szCs w:val="36"/>
              </w:rPr>
              <w:t xml:space="preserve">Greenhouse &amp; Biomass Module</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The greenhouse complex is the River Refugium Project's core biological engine — the zone where nutrient-rich process water becomes high-value biomass, fibers, algae, and structural material. Unlike traditional agriculture, the RRP greenhouse complex is designed to extract value from pollution itself, turning excess nitrogen and phosphorus into industrial commodities. This document explains the greenhouse architecture, crop segmentation, growing systems, nutrient routing logic, and biomass-handling module. All yield figures are provisional academic proxies ⚑ flagged pending replacement by pilot data.</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1. What the Greenhouse Complex Does</w:t>
      </w:r>
    </w:p>
    <w:p>
      <w:pPr>
        <w:spacing w:before="60" w:after="60"/>
      </w:pPr>
      <w:r>
        <w:rPr>
          <w:rFonts w:ascii="Arial" w:cs="Arial" w:eastAsia="Arial" w:hAnsi="Arial"/>
          <w:sz w:val="24"/>
          <w:szCs w:val="24"/>
        </w:rPr>
        <w:t xml:space="preserve">The 13-house production complex is engineered for four overarching functions: capture nutrients with year-round biological uptake; convert nutrients into biomass with predictable yields; segment crops for ease of maintenance, tailored conditions, and controlled harvest cycles; and generate feedstock for thermochemical conversion. Each greenhouse functions as a controlled-environment wetland with adjustable nutrient chemistry, specific hydraulic regimes, climate-controlled air systems, predictable turnover, and a clean-in/clean-out maintenance cycle.</w:t>
      </w:r>
    </w:p>
    <w:p>
      <w:pPr>
        <w:pStyle w:val="Heading2"/>
        <w:spacing w:before="300" w:after="120"/>
      </w:pPr>
      <w:r>
        <w:rPr>
          <w:rFonts w:ascii="Arial" w:cs="Arial" w:eastAsia="Arial" w:hAnsi="Arial"/>
          <w:b/>
          <w:bCs/>
          <w:color w:val="2E75B6"/>
          <w:sz w:val="28"/>
          <w:szCs w:val="28"/>
        </w:rPr>
        <w:t xml:space="preserve">2. Nutrient Routing Grid</w:t>
      </w:r>
    </w:p>
    <w:p>
      <w:pPr>
        <w:spacing w:before="60" w:after="60"/>
      </w:pPr>
      <w:r>
        <w:rPr>
          <w:rFonts w:ascii="Arial" w:cs="Arial" w:eastAsia="Arial" w:hAnsi="Arial"/>
          <w:sz w:val="24"/>
          <w:szCs w:val="24"/>
        </w:rPr>
        <w:t xml:space="preserve">The PLC-controlled nutrient routing grid is the central logic of the complex — a manifold system directing different pools of nutrient-rich water to crops that can best utilize them. Routing factors include nitrate concentration, phosphorus ratio, micronutrient levels, dissolved organics, trace-metal loads, temperature, and seasonal crop curves. The grid allows the system to behave as an adaptive nutrient engine, shifting loads dynamically based on crop demand, greenhouse downtime, feedstock needs for HTC, and stormwater-driven nutrient surges.</w:t>
      </w:r>
    </w:p>
    <w:p>
      <w:pPr>
        <w:pStyle w:val="Heading2"/>
        <w:spacing w:before="300" w:after="120"/>
      </w:pPr>
      <w:r>
        <w:rPr>
          <w:rFonts w:ascii="Arial" w:cs="Arial" w:eastAsia="Arial" w:hAnsi="Arial"/>
          <w:b/>
          <w:bCs/>
          <w:color w:val="2E75B6"/>
          <w:sz w:val="28"/>
          <w:szCs w:val="28"/>
        </w:rPr>
        <w:t xml:space="preserve">3. Greenhouse Types &amp; Engineering</w:t>
      </w:r>
    </w:p>
    <w:p>
      <w:pPr>
        <w:spacing w:before="60" w:after="60"/>
      </w:pPr>
      <w:r>
        <w:rPr>
          <w:rFonts w:ascii="Arial" w:cs="Arial" w:eastAsia="Arial" w:hAnsi="Arial"/>
          <w:sz w:val="24"/>
          <w:szCs w:val="24"/>
        </w:rPr>
        <w:t xml:space="preserve">The 13 production greenhouses cover five primary crop categories, each with distinct architecture and system integration role:</w:t>
      </w:r>
    </w:p>
    <w:p>
      <w:pPr>
        <w:pStyle w:val="ListParagraph"/>
        <w:numPr>
          <w:ilvl w:val="0"/>
          <w:numId w:val="2"/>
        </w:numPr>
        <w:spacing w:before="40" w:after="40"/>
      </w:pPr>
      <w:r>
        <w:rPr>
          <w:rFonts w:ascii="Arial" w:cs="Arial" w:eastAsia="Arial" w:hAnsi="Arial"/>
          <w:sz w:val="24"/>
          <w:szCs w:val="24"/>
        </w:rPr>
        <w:t xml:space="preserve">High-lipid algae (1–2 houses): shallow-rack or raceway-style channels, LED-assisted lighting, CO₂ injection from off-gas capture. High turnover, reliable HTC/HTL feedstock, rapid nutrient uptake. ⚑</w:t>
      </w:r>
    </w:p>
    <w:p>
      <w:pPr>
        <w:pStyle w:val="ListParagraph"/>
        <w:numPr>
          <w:ilvl w:val="0"/>
          <w:numId w:val="2"/>
        </w:numPr>
        <w:spacing w:before="40" w:after="40"/>
      </w:pPr>
      <w:r>
        <w:rPr>
          <w:rFonts w:ascii="Arial" w:cs="Arial" w:eastAsia="Arial" w:hAnsi="Arial"/>
          <w:sz w:val="24"/>
          <w:szCs w:val="24"/>
        </w:rPr>
        <w:t xml:space="preserve">Fast-fiber crops — hemp, jute, flax (3–4 houses): deep-water culture or ebb-and-flow, heavy biochar substrate, high airflow. High biomass per square foot, strong hydrochar synergy. ⚑</w:t>
      </w:r>
    </w:p>
    <w:p>
      <w:pPr>
        <w:pStyle w:val="ListParagraph"/>
        <w:numPr>
          <w:ilvl w:val="0"/>
          <w:numId w:val="2"/>
        </w:numPr>
        <w:spacing w:before="40" w:after="40"/>
      </w:pPr>
      <w:r>
        <w:rPr>
          <w:rFonts w:ascii="Arial" w:cs="Arial" w:eastAsia="Arial" w:hAnsi="Arial"/>
          <w:sz w:val="24"/>
          <w:szCs w:val="24"/>
        </w:rPr>
        <w:t xml:space="preserve">Structural biomass — willow coppice, bamboo (2–3 houses): substrate beds for uniform rod formation, rotational cutting cycles, CO₂-enriched atmosphere. Biochar-ready, year-round cutting. ⚑</w:t>
      </w:r>
    </w:p>
    <w:p>
      <w:pPr>
        <w:pStyle w:val="ListParagraph"/>
        <w:numPr>
          <w:ilvl w:val="0"/>
          <w:numId w:val="2"/>
        </w:numPr>
        <w:spacing w:before="40" w:after="40"/>
      </w:pPr>
      <w:r>
        <w:rPr>
          <w:rFonts w:ascii="Arial" w:cs="Arial" w:eastAsia="Arial" w:hAnsi="Arial"/>
          <w:sz w:val="24"/>
          <w:szCs w:val="24"/>
        </w:rPr>
        <w:t xml:space="preserve">Energy grasses — miscanthus, nettles (2–3 houses): deep hydroponic beds, large airflow fans, seasonal lighting. Enormous tonnage, ideal for HTC. ⚑</w:t>
      </w:r>
    </w:p>
    <w:p>
      <w:pPr>
        <w:pStyle w:val="ListParagraph"/>
        <w:numPr>
          <w:ilvl w:val="0"/>
          <w:numId w:val="2"/>
        </w:numPr>
        <w:spacing w:before="40" w:after="40"/>
      </w:pPr>
      <w:r>
        <w:rPr>
          <w:rFonts w:ascii="Arial" w:cs="Arial" w:eastAsia="Arial" w:hAnsi="Arial"/>
          <w:sz w:val="24"/>
          <w:szCs w:val="24"/>
        </w:rPr>
        <w:t xml:space="preserve">Polishing algae beds (1–2 houses): shallow beds for final nitrogen and phosphorus polishing, micro-contaminant uptake, light suspended-solids capture. Output stable enough for clean-water return. ⚑</w:t>
      </w:r>
    </w:p>
    <w:p>
      <w:pPr>
        <w:spacing w:before="60" w:after="60"/>
      </w:pPr>
      <w:r>
        <w:rPr>
          <w:rFonts w:ascii="Arial" w:cs="Arial" w:eastAsia="Arial" w:hAnsi="Arial"/>
          <w:sz w:val="24"/>
          <w:szCs w:val="24"/>
        </w:rPr>
        <w:t xml:space="preserve">All yield and uptake figures for the above crop categories are provisional academic proxies. These will be replaced by measured monthly values from pilot operations. See RRP8 for the data collection protocol and RRP6 for the modular slot framework governing financial projections.</w:t>
      </w:r>
    </w:p>
    <w:p>
      <w:pPr>
        <w:pStyle w:val="Heading2"/>
        <w:spacing w:before="300" w:after="120"/>
      </w:pPr>
      <w:r>
        <w:rPr>
          <w:rFonts w:ascii="Arial" w:cs="Arial" w:eastAsia="Arial" w:hAnsi="Arial"/>
          <w:b/>
          <w:bCs/>
          <w:color w:val="2E75B6"/>
          <w:sz w:val="28"/>
          <w:szCs w:val="28"/>
        </w:rPr>
        <w:t xml:space="preserve">4. Greenhouse-Wide Engineering</w:t>
      </w:r>
    </w:p>
    <w:p>
      <w:pPr>
        <w:spacing w:before="60" w:after="60"/>
      </w:pPr>
      <w:r>
        <w:rPr>
          <w:rFonts w:ascii="Arial" w:cs="Arial" w:eastAsia="Arial" w:hAnsi="Arial"/>
          <w:sz w:val="24"/>
          <w:szCs w:val="24"/>
        </w:rPr>
        <w:t xml:space="preserve">Across all greenhouse types: cross-tube airflow, roof ridge venting, CO₂ injection loops, and waste-heat integration from the HTC/HTL thermal loop govern climate architecture. Dedicated pumps per house, return lines to the routing grid, and overflow safeties govern hydraulics. Biochar from HTC becomes root medium, microbial habitat, and filtration layer — closing the loop between growing and thermochemical conversion.</w:t>
      </w:r>
    </w:p>
    <w:p>
      <w:pPr>
        <w:spacing w:before="60" w:after="60"/>
      </w:pPr>
      <w:r>
        <w:rPr>
          <w:rFonts w:ascii="Arial" w:cs="Arial" w:eastAsia="Arial" w:hAnsi="Arial"/>
          <w:sz w:val="24"/>
          <w:szCs w:val="24"/>
        </w:rPr>
        <w:t xml:space="preserve">The clean-in/clean-out cycle is the operational key to year-round uptime. Each house can be fully isolated for deep cleaning, pathogen reset, equipment service, or substrate replacement without interrupting the others. Uptime target: 85–97% depending on scenario. ⚑ Measured uptime will be confirmed by pilot operations.</w:t>
      </w:r>
    </w:p>
    <w:p>
      <w:pPr>
        <w:pStyle w:val="Heading2"/>
        <w:spacing w:before="300" w:after="120"/>
      </w:pPr>
      <w:r>
        <w:rPr>
          <w:rFonts w:ascii="Arial" w:cs="Arial" w:eastAsia="Arial" w:hAnsi="Arial"/>
          <w:b/>
          <w:bCs/>
          <w:color w:val="2E75B6"/>
          <w:sz w:val="28"/>
          <w:szCs w:val="28"/>
        </w:rPr>
        <w:t xml:space="preserve">5. Biomass Module</w:t>
      </w:r>
    </w:p>
    <w:p>
      <w:pPr>
        <w:spacing w:before="60" w:after="60"/>
      </w:pPr>
      <w:r>
        <w:rPr>
          <w:rFonts w:ascii="Arial" w:cs="Arial" w:eastAsia="Arial" w:hAnsi="Arial"/>
          <w:sz w:val="24"/>
          <w:szCs w:val="24"/>
        </w:rPr>
        <w:t xml:space="preserve">Once biomass leaves the greenhouse houses, it enters the biomass processing module — the bridge to HTC/HTL. Functions include chopping, shredding, grinding, slurry preparation, dewatering where needed, char-blending, and load-balancing for the thermochemical plant. Design priorities are low contamination risk, smooth feedstock flow, no off-site hauling, and year-round throughput. This module ensures the HTC system is never starved of feedstock and never overloaded by peak harvest cycles.</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Bright Meadow Group, "Controlled Environment Agriculture (CEA) Standards." BMG Greenhouse Ops Draft, 2025.</w:t>
      </w:r>
    </w:p>
    <w:p>
      <w:pPr>
        <w:spacing w:before="40" w:after="40"/>
        <w:ind w:left="360"/>
      </w:pPr>
      <w:r>
        <w:rPr>
          <w:rFonts w:ascii="Arial" w:cs="Arial" w:eastAsia="Arial" w:hAnsi="Arial"/>
          <w:i/>
          <w:iCs/>
          <w:color w:val="666666"/>
          <w:sz w:val="20"/>
          <w:szCs w:val="20"/>
        </w:rPr>
        <w:t xml:space="preserve">2. Bright Meadow Group, "Nutrient Routing Grid." CF/BMG SCADA Engineering Notes, 2025.</w:t>
      </w:r>
    </w:p>
    <w:p>
      <w:pPr>
        <w:spacing w:before="40" w:after="40"/>
        <w:ind w:left="360"/>
      </w:pPr>
      <w:r>
        <w:rPr>
          <w:rFonts w:ascii="Arial" w:cs="Arial" w:eastAsia="Arial" w:hAnsi="Arial"/>
          <w:i/>
          <w:iCs/>
          <w:color w:val="666666"/>
          <w:sz w:val="20"/>
          <w:szCs w:val="20"/>
        </w:rPr>
        <w:t xml:space="preserve">3. Mata, T.M. et al., "Microalgae for Biodiesel Production," RSER 14 (2010): 217–232. ⚑ Provisional.</w:t>
      </w:r>
    </w:p>
    <w:p>
      <w:pPr>
        <w:spacing w:before="40" w:after="40"/>
        <w:ind w:left="360"/>
      </w:pPr>
      <w:r>
        <w:rPr>
          <w:rFonts w:ascii="Arial" w:cs="Arial" w:eastAsia="Arial" w:hAnsi="Arial"/>
          <w:i/>
          <w:iCs/>
          <w:color w:val="666666"/>
          <w:sz w:val="20"/>
          <w:szCs w:val="20"/>
        </w:rPr>
        <w:t xml:space="preserve">4. van der Werf, H.M.G., "Assessing the Impact of Pesticides on the Environment," AEE 60 (1996): 81–96. Hemp yield proxies. ⚑ Provisional.</w:t>
      </w:r>
    </w:p>
    <w:p>
      <w:pPr>
        <w:spacing w:before="40" w:after="40"/>
        <w:ind w:left="360"/>
      </w:pPr>
      <w:r>
        <w:rPr>
          <w:rFonts w:ascii="Arial" w:cs="Arial" w:eastAsia="Arial" w:hAnsi="Arial"/>
          <w:i/>
          <w:iCs/>
          <w:color w:val="666666"/>
          <w:sz w:val="20"/>
          <w:szCs w:val="20"/>
        </w:rPr>
        <w:t xml:space="preserve">5. Haughton, A.J. et al., "A Novel, Integrated System Approach to Assess the Case for Bioenergy Crops," GCB Bioenergy 1 (2009). Willow/biomass proxies. ⚑ Provisional.</w:t>
      </w:r>
    </w:p>
    <w:p>
      <w:pPr>
        <w:spacing w:before="40" w:after="40"/>
        <w:ind w:left="360"/>
      </w:pPr>
      <w:r>
        <w:rPr>
          <w:rFonts w:ascii="Arial" w:cs="Arial" w:eastAsia="Arial" w:hAnsi="Arial"/>
          <w:i/>
          <w:iCs/>
          <w:color w:val="666666"/>
          <w:sz w:val="20"/>
          <w:szCs w:val="20"/>
        </w:rPr>
        <w:t xml:space="preserve">6. Heaton, E.A. et al., "Meeting US Biofuel Goals with Less Land," Global Change Biology 14 (2008). Miscanthus yield proxies. ⚑ Provisional.</w:t>
      </w:r>
    </w:p>
    <w:p>
      <w:pPr>
        <w:spacing w:before="40" w:after="40"/>
        <w:ind w:left="360"/>
      </w:pPr>
      <w:r>
        <w:rPr>
          <w:rFonts w:ascii="Arial" w:cs="Arial" w:eastAsia="Arial" w:hAnsi="Arial"/>
          <w:i/>
          <w:iCs/>
          <w:color w:val="666666"/>
          <w:sz w:val="20"/>
          <w:szCs w:val="20"/>
        </w:rPr>
        <w:t xml:space="preserve">7. Körner, S. and Vermaat, J.E., "The Relative Importance of Lemna gibba," Water Research 32 (1998). ⚑ Provisional.</w:t>
      </w:r>
    </w:p>
    <w:p>
      <w:pPr>
        <w:spacing w:before="40" w:after="40"/>
        <w:ind w:left="360"/>
      </w:pPr>
      <w:r>
        <w:rPr>
          <w:rFonts w:ascii="Arial" w:cs="Arial" w:eastAsia="Arial" w:hAnsi="Arial"/>
          <w:i/>
          <w:iCs/>
          <w:color w:val="666666"/>
          <w:sz w:val="20"/>
          <w:szCs w:val="20"/>
        </w:rPr>
        <w:t xml:space="preserve">8. Bright Meadow Group, "HTC Feed Preparation Guidelines." CF/BMG Process Engineering, 2025.</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RRP5  |  RRP0002.6</w:t>
            </w:r>
          </w:p>
          <w:p>
            <w:pPr>
              <w:spacing w:before="0" w:after="0"/>
            </w:pPr>
            <w:r>
              <w:rPr>
                <w:rFonts w:ascii="Arial" w:cs="Arial" w:eastAsia="Arial" w:hAnsi="Arial"/>
                <w:b/>
                <w:bCs/>
                <w:color w:val="FFFFFF"/>
                <w:sz w:val="36"/>
                <w:szCs w:val="36"/>
              </w:rPr>
              <w:t xml:space="preserve">HTC/HTL Thermochemical Processing</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The HTC/HTL plant is the River Refugium Project's industrial backbone — the zone where biomass harvested from the greenhouse complex is transformed into fuels, hydrochar, energy, and closed-loop process water. Hydrothermal Carbonization (HTC) and Hydrothermal Liquefaction (HTL) are high-pressure, high-temperature processes that convert wet biomass into bio-crude, hydrochar, nutrient-rich aqueous phase, and off-gases. This document explains the process flow, operating conditions, and system integration logic. The thermochemical plant is present in Model A (on-site) nodes; Model B nodes transport biomass to a regional Model A hub.</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1. Why HTC/HTL Is the Right Process for RRP Biomass</w:t>
      </w:r>
    </w:p>
    <w:p>
      <w:pPr>
        <w:spacing w:before="60" w:after="60"/>
      </w:pPr>
      <w:r>
        <w:rPr>
          <w:rFonts w:ascii="Arial" w:cs="Arial" w:eastAsia="Arial" w:hAnsi="Arial"/>
          <w:sz w:val="24"/>
          <w:szCs w:val="24"/>
        </w:rPr>
        <w:t xml:space="preserve">RRP biomass is produced in hydroponic systems — water-saturated, high-moisture, low-density, and difficult to dry without energy waste. HTC and HTL are uniquely suited because they require wet feedstock. This makes the processes energy-efficient, operationally compatible with algae slurry, low-loss in handling, and ideal for nutrient-rich sludge streams. Without thermochemical conversion, biomass would accumulate, require drying, create odor and pathogen vectors, and introduce storage risk. The HTC/HTL plant converts all biomass on-site into stable, compact material — zero accumulating waste.</w:t>
      </w:r>
    </w:p>
    <w:p>
      <w:pPr>
        <w:pStyle w:val="Heading2"/>
        <w:spacing w:before="300" w:after="120"/>
      </w:pPr>
      <w:r>
        <w:rPr>
          <w:rFonts w:ascii="Arial" w:cs="Arial" w:eastAsia="Arial" w:hAnsi="Arial"/>
          <w:b/>
          <w:bCs/>
          <w:color w:val="2E75B6"/>
          <w:sz w:val="28"/>
          <w:szCs w:val="28"/>
        </w:rPr>
        <w:t xml:space="preserve">2. Feedstock Preparation</w:t>
      </w:r>
    </w:p>
    <w:p>
      <w:pPr>
        <w:spacing w:before="60" w:after="60"/>
      </w:pPr>
      <w:r>
        <w:rPr>
          <w:rFonts w:ascii="Arial" w:cs="Arial" w:eastAsia="Arial" w:hAnsi="Arial"/>
          <w:sz w:val="24"/>
          <w:szCs w:val="24"/>
        </w:rPr>
        <w:t xml:space="preserve">Incoming biomass — algae paste, cotton stalks, willow rods, jute, miscanthus — is shredded to a uniform particle size suitable for high-pressure conveyance. Depending on moisture content, material becomes a pumpable slurry (algae), wet pulp (fiber crops), or blended mash (mixed biomass). Feedstock is staged in surge tanks to create a steady-state feed rate for the reactors. Uniform feed is critical for reactor efficiency and energy balance.</w:t>
      </w:r>
    </w:p>
    <w:p>
      <w:pPr>
        <w:pStyle w:val="Heading2"/>
        <w:spacing w:before="300" w:after="120"/>
      </w:pPr>
      <w:r>
        <w:rPr>
          <w:rFonts w:ascii="Arial" w:cs="Arial" w:eastAsia="Arial" w:hAnsi="Arial"/>
          <w:b/>
          <w:bCs/>
          <w:color w:val="2E75B6"/>
          <w:sz w:val="28"/>
          <w:szCs w:val="28"/>
        </w:rPr>
        <w:t xml:space="preserve">3. Hydrothermal Carbonization (HTC)</w:t>
      </w:r>
    </w:p>
    <w:p>
      <w:pPr>
        <w:spacing w:before="60" w:after="60"/>
      </w:pPr>
      <w:r>
        <w:rPr>
          <w:rFonts w:ascii="Arial" w:cs="Arial" w:eastAsia="Arial" w:hAnsi="Arial"/>
          <w:sz w:val="24"/>
          <w:szCs w:val="24"/>
        </w:rPr>
        <w:t xml:space="preserve">HTC converts wet biomass into hydrochar at moderate temperatures and pressures. Operating conditions: temperature 180–250°C, pressure 2–10 MPa, residence time 1–8 hours. Under subcritical water conditions, cellulose and lignin break down, carbon densifies, solids separate from liquid organics, and gases form. Outputs: solid hydrochar, aqueous phase (dissolved organics and nutrients), and off-gases.</w:t>
      </w:r>
    </w:p>
    <w:p>
      <w:pPr>
        <w:spacing w:before="60" w:after="60"/>
      </w:pPr>
      <w:r>
        <w:rPr>
          <w:rFonts w:ascii="Arial" w:cs="Arial" w:eastAsia="Arial" w:hAnsi="Arial"/>
          <w:sz w:val="24"/>
          <w:szCs w:val="24"/>
        </w:rPr>
        <w:t xml:space="preserve">Hydrochar applications: soil amendment and carbon sequestration instrument; activated carbon precursor (premium market); filtration medium; biocomposite filler; substrate material for greenhouse root zones — closing the loop between thermochemical conversion and growing operations.</w:t>
      </w:r>
    </w:p>
    <w:p>
      <w:pPr>
        <w:pStyle w:val="Heading2"/>
        <w:spacing w:before="300" w:after="120"/>
      </w:pPr>
      <w:r>
        <w:rPr>
          <w:rFonts w:ascii="Arial" w:cs="Arial" w:eastAsia="Arial" w:hAnsi="Arial"/>
          <w:b/>
          <w:bCs/>
          <w:color w:val="2E75B6"/>
          <w:sz w:val="28"/>
          <w:szCs w:val="28"/>
        </w:rPr>
        <w:t xml:space="preserve">4. Hydrothermal Liquefaction (HTL)</w:t>
      </w:r>
    </w:p>
    <w:p>
      <w:pPr>
        <w:spacing w:before="60" w:after="60"/>
      </w:pPr>
      <w:r>
        <w:rPr>
          <w:rFonts w:ascii="Arial" w:cs="Arial" w:eastAsia="Arial" w:hAnsi="Arial"/>
          <w:sz w:val="24"/>
          <w:szCs w:val="24"/>
        </w:rPr>
        <w:t xml:space="preserve">HTL converts wet biomass into bio-crude at higher temperatures and pressures. Operating conditions: temperature 280–370°C, pressure 10–25 MPa, residence time 15–60 minutes. High-lipid feedstocks such as algae are preferentially routed to HTL due to higher bio-oil yield. The feedstock split between HTC and HTL pathways depends on crop mix — in the current model, algae houses direct 80% of biomass to HTL while fiber and structural crop houses direct 60% to HTC. ⚑ Actual split will be calibrated by pilot operations.</w:t>
      </w:r>
    </w:p>
    <w:p>
      <w:pPr>
        <w:spacing w:before="60" w:after="60"/>
      </w:pPr>
      <w:r>
        <w:rPr>
          <w:rFonts w:ascii="Arial" w:cs="Arial" w:eastAsia="Arial" w:hAnsi="Arial"/>
          <w:sz w:val="24"/>
          <w:szCs w:val="24"/>
        </w:rPr>
        <w:t xml:space="preserve">Bio-oil applications: refinery feedstock, chemical manufacturing, plastics production, adhesives, binders, lubricants. Globally tradable, ESG-favored, price-linked to petroleum markets.</w:t>
      </w:r>
    </w:p>
    <w:p>
      <w:pPr>
        <w:pStyle w:val="Heading2"/>
        <w:spacing w:before="300" w:after="120"/>
      </w:pPr>
      <w:r>
        <w:rPr>
          <w:rFonts w:ascii="Arial" w:cs="Arial" w:eastAsia="Arial" w:hAnsi="Arial"/>
          <w:b/>
          <w:bCs/>
          <w:color w:val="2E75B6"/>
          <w:sz w:val="28"/>
          <w:szCs w:val="28"/>
        </w:rPr>
        <w:t xml:space="preserve">5. Phase Separation &amp; Energy Loop</w:t>
      </w:r>
    </w:p>
    <w:p>
      <w:pPr>
        <w:spacing w:before="60" w:after="60"/>
      </w:pPr>
      <w:r>
        <w:rPr>
          <w:rFonts w:ascii="Arial" w:cs="Arial" w:eastAsia="Arial" w:hAnsi="Arial"/>
          <w:sz w:val="24"/>
          <w:szCs w:val="24"/>
        </w:rPr>
        <w:t xml:space="preserve">Following thermochemical conversion, the process stream separates into solid (hydrochar), liquid (bio-oil or aqueous phase), and gas fractions. The aqueous phase — nutrient-rich water from both HTC and HTL — recirculates to the algae production houses, providing a nutrient input that reduces fresh water demand and closes the nutrient loop.</w:t>
      </w:r>
    </w:p>
    <w:p>
      <w:pPr>
        <w:spacing w:before="60" w:after="60"/>
      </w:pPr>
      <w:r>
        <w:rPr>
          <w:rFonts w:ascii="Arial" w:cs="Arial" w:eastAsia="Arial" w:hAnsi="Arial"/>
          <w:sz w:val="24"/>
          <w:szCs w:val="24"/>
        </w:rPr>
        <w:t xml:space="preserve">Off-gases (methane-rich, CO₂-rich) and waste heat from the reactors are captured and routed back to the greenhouse complex for enrichment and heating. No external heating or cooling energy is purchased — the system is thermally self-sustaining under normal operating conditions. This is a confirmed design characteristic, not a projection.</w:t>
      </w:r>
    </w:p>
    <w:p>
      <w:pPr>
        <w:pStyle w:val="Heading2"/>
        <w:spacing w:before="300" w:after="120"/>
      </w:pPr>
      <w:r>
        <w:rPr>
          <w:rFonts w:ascii="Arial" w:cs="Arial" w:eastAsia="Arial" w:hAnsi="Arial"/>
          <w:b/>
          <w:bCs/>
          <w:color w:val="2E75B6"/>
          <w:sz w:val="28"/>
          <w:szCs w:val="28"/>
        </w:rPr>
        <w:t xml:space="preserve">6. Model A vs. Model B</w:t>
      </w:r>
    </w:p>
    <w:p>
      <w:pPr>
        <w:spacing w:before="60" w:after="60"/>
      </w:pPr>
      <w:r>
        <w:rPr>
          <w:rFonts w:ascii="Arial" w:cs="Arial" w:eastAsia="Arial" w:hAnsi="Arial"/>
          <w:sz w:val="24"/>
          <w:szCs w:val="24"/>
        </w:rPr>
        <w:t xml:space="preserve">Model A nodes carry the full HTC/HTL plant on-site. Model B nodes transport harvested biomass to a regional Model A hub for processing. The cluster architecture — one Model A hub serving 5–10 Model B satellites — is designed to maintain reactor steady-state throughput across the aggregate biomass supply of the cluster. This protects reactor maintenance cycles and eliminates feedstock variability risk from any single node's seasonal curve.</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Elliott, D.C. et al., "Hydrothermal Processing of Biomass." Pacific Northwest National Laboratory, PNNL report.</w:t>
      </w:r>
    </w:p>
    <w:p>
      <w:pPr>
        <w:spacing w:before="40" w:after="40"/>
        <w:ind w:left="360"/>
      </w:pPr>
      <w:r>
        <w:rPr>
          <w:rFonts w:ascii="Arial" w:cs="Arial" w:eastAsia="Arial" w:hAnsi="Arial"/>
          <w:i/>
          <w:iCs/>
          <w:color w:val="666666"/>
          <w:sz w:val="20"/>
          <w:szCs w:val="20"/>
        </w:rPr>
        <w:t xml:space="preserve">2. Bright Meadow Group, "Biomass Feedstock Preparation Manual." RRP Processing Module Draft, 2025.</w:t>
      </w:r>
    </w:p>
    <w:p>
      <w:pPr>
        <w:spacing w:before="40" w:after="40"/>
        <w:ind w:left="360"/>
      </w:pPr>
      <w:r>
        <w:rPr>
          <w:rFonts w:ascii="Arial" w:cs="Arial" w:eastAsia="Arial" w:hAnsi="Arial"/>
          <w:i/>
          <w:iCs/>
          <w:color w:val="666666"/>
          <w:sz w:val="20"/>
          <w:szCs w:val="20"/>
        </w:rPr>
        <w:t xml:space="preserve">3. Funke, A. and Ziegler, F., "Hydrothermal Carbonization of Biomass," Journal of Analytical and Applied Pyrolysis 98 (2010): 107–117.</w:t>
      </w:r>
    </w:p>
    <w:p>
      <w:pPr>
        <w:spacing w:before="40" w:after="40"/>
        <w:ind w:left="360"/>
      </w:pPr>
      <w:r>
        <w:rPr>
          <w:rFonts w:ascii="Arial" w:cs="Arial" w:eastAsia="Arial" w:hAnsi="Arial"/>
          <w:i/>
          <w:iCs/>
          <w:color w:val="666666"/>
          <w:sz w:val="20"/>
          <w:szCs w:val="20"/>
        </w:rPr>
        <w:t xml:space="preserve">4. Toor, S.S. et al., "Hydrothermal Liquefaction of Biomass: A Review of Subcritical Water Technologies," Energy 36 (2011): 2328–2342.</w:t>
      </w:r>
    </w:p>
    <w:p>
      <w:pPr>
        <w:spacing w:before="40" w:after="40"/>
        <w:ind w:left="360"/>
      </w:pPr>
      <w:r>
        <w:rPr>
          <w:rFonts w:ascii="Arial" w:cs="Arial" w:eastAsia="Arial" w:hAnsi="Arial"/>
          <w:i/>
          <w:iCs/>
          <w:color w:val="666666"/>
          <w:sz w:val="20"/>
          <w:szCs w:val="20"/>
        </w:rPr>
        <w:t xml:space="preserve">5. Bright Meadow Group, "Energy Integration &amp; Heat Loop Strategy." CF/BMG Systems Design Notebook, 2025.</w:t>
      </w:r>
    </w:p>
    <w:p>
      <w:pPr>
        <w:spacing w:before="40" w:after="40"/>
        <w:ind w:left="360"/>
      </w:pPr>
      <w:r>
        <w:rPr>
          <w:rFonts w:ascii="Arial" w:cs="Arial" w:eastAsia="Arial" w:hAnsi="Arial"/>
          <w:i/>
          <w:iCs/>
          <w:color w:val="666666"/>
          <w:sz w:val="20"/>
          <w:szCs w:val="20"/>
        </w:rPr>
        <w:t xml:space="preserve">6. Bright Meadow Group, "RRP6 — Economic &amp; Deployment Model," Version 2.0. Section 4, Hub-and-Spoke Cluster Architecture.</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RRP6  |  RRP0002.7</w:t>
            </w:r>
          </w:p>
          <w:p>
            <w:pPr>
              <w:spacing w:before="0" w:after="0"/>
            </w:pPr>
            <w:r>
              <w:rPr>
                <w:rFonts w:ascii="Arial" w:cs="Arial" w:eastAsia="Arial" w:hAnsi="Arial"/>
                <w:b/>
                <w:bCs/>
                <w:color w:val="FFFFFF"/>
                <w:sz w:val="36"/>
                <w:szCs w:val="36"/>
              </w:rPr>
              <w:t xml:space="preserve">Economic &amp; Deployment Model</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RRP6 presents the integrated economic and deployment logic of the River Refugium Project across three scales: pilot, reference node, and watershed arc. It introduces the two deployment models (Model A: integrated on-site HTC/HTL; Model B: distributed biological node feeding a regional hub), the hub-and-spoke cluster architecture, and the modular slot framework for financial modeling under conditions of incomplete crop yield data. For the detailed revenue layer breakdown and investor-facing financial architecture, see RRP12 — Deployment Economics &amp; Revenue Stack.</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1. The Economic Thesis: Waste Is Feedstock</w:t>
      </w:r>
    </w:p>
    <w:p>
      <w:pPr>
        <w:spacing w:before="60" w:after="60"/>
      </w:pPr>
      <w:r>
        <w:rPr>
          <w:rFonts w:ascii="Arial" w:cs="Arial" w:eastAsia="Arial" w:hAnsi="Arial"/>
          <w:sz w:val="24"/>
          <w:szCs w:val="24"/>
        </w:rPr>
        <w:t xml:space="preserve">The River Refugium Project does not pay to remove pollution. It monetizes it. Every input that drives environmental damage in a river system — nitrogen, phosphorus, suspended organics, heat, CO₂ — is redirected inside the RRP node and converted into biomass, fuel precursors, carbon-negative materials, and verifiable environmental credits. The pollutant is the feedstock. The cleanup is the production process.</w:t>
      </w:r>
    </w:p>
    <w:p>
      <w:pPr>
        <w:spacing w:before="60" w:after="60"/>
      </w:pPr>
      <w:r>
        <w:rPr>
          <w:rFonts w:ascii="Arial" w:cs="Arial" w:eastAsia="Arial" w:hAnsi="Arial"/>
          <w:sz w:val="24"/>
          <w:szCs w:val="24"/>
        </w:rPr>
        <w:t xml:space="preserve">This principle governs every financial decision in the system. It means operating costs are offset by outputs at every stage, and it means the system becomes more economically productive in direct proportion to how polluted the source water is. The most degraded rivers are the best business cases.</w:t>
      </w:r>
    </w:p>
    <w:p>
      <w:pPr>
        <w:pStyle w:val="Heading2"/>
        <w:spacing w:before="300" w:after="120"/>
      </w:pPr>
      <w:r>
        <w:rPr>
          <w:rFonts w:ascii="Arial" w:cs="Arial" w:eastAsia="Arial" w:hAnsi="Arial"/>
          <w:b/>
          <w:bCs/>
          <w:color w:val="2E75B6"/>
          <w:sz w:val="28"/>
          <w:szCs w:val="28"/>
        </w:rPr>
        <w:t xml:space="preserve">2. Three-Tier Economic Scale</w:t>
      </w:r>
    </w:p>
    <w:p>
      <w:pPr>
        <w:pStyle w:val="Heading3"/>
        <w:spacing w:before="200" w:after="80"/>
      </w:pPr>
      <w:r>
        <w:rPr>
          <w:rFonts w:ascii="Arial" w:cs="Arial" w:eastAsia="Arial" w:hAnsi="Arial"/>
          <w:b/>
          <w:bCs/>
          <w:color w:val="404040"/>
          <w:sz w:val="26"/>
          <w:szCs w:val="26"/>
        </w:rPr>
        <w:t xml:space="preserve">2.1 Tier 1 — The Biological Pilot (One Full Grow Unit)</w:t>
      </w:r>
    </w:p>
    <w:p>
      <w:pPr>
        <w:spacing w:before="60" w:after="60"/>
      </w:pPr>
      <w:r>
        <w:rPr>
          <w:rFonts w:ascii="Arial" w:cs="Arial" w:eastAsia="Arial" w:hAnsi="Arial"/>
          <w:sz w:val="24"/>
          <w:szCs w:val="24"/>
        </w:rPr>
        <w:t xml:space="preserve">The pilot is not a token demonstration. It is a full-scale biological engine — every functional component of an RRP node operating together at the smallest economically meaningful unit size. It contains a complete six-tank biofiltration train, one evaporation greenhouse, a 13-house greenhouse complex, a nutrient routing grid, and SCADA/PLC automation.</w:t>
      </w:r>
    </w:p>
    <w:p>
      <w:pPr>
        <w:spacing w:before="60" w:after="60"/>
      </w:pPr>
      <w:r>
        <w:rPr>
          <w:rFonts w:ascii="Arial" w:cs="Arial" w:eastAsia="Arial" w:hAnsi="Arial"/>
          <w:sz w:val="24"/>
          <w:szCs w:val="24"/>
        </w:rPr>
        <w:t xml:space="preserve">The pilot is not designed to be independently profitable. It is designed to do one thing above all others: generate the data that sizes every reactor cluster that follows. No prior dataset exists for an integrated multi-species hydroponic nutrient-processing system at this scale. A smaller pilot would generate misleading data. A larger pilot would demand premature capital. One full grow unit is the minimum unit that simulates the full operational complexity of an RRP node.</w:t>
      </w:r>
    </w:p>
    <w:p>
      <w:pPr>
        <w:pStyle w:val="Heading3"/>
        <w:spacing w:before="200" w:after="80"/>
      </w:pPr>
      <w:r>
        <w:rPr>
          <w:rFonts w:ascii="Arial" w:cs="Arial" w:eastAsia="Arial" w:hAnsi="Arial"/>
          <w:b/>
          <w:bCs/>
          <w:color w:val="404040"/>
          <w:sz w:val="26"/>
          <w:szCs w:val="26"/>
        </w:rPr>
        <w:t xml:space="preserve">2.2 Tier 2 — The 100-Acre Reference Node</w:t>
      </w:r>
    </w:p>
    <w:p>
      <w:pPr>
        <w:spacing w:before="60" w:after="60"/>
      </w:pPr>
      <w:r>
        <w:rPr>
          <w:rFonts w:ascii="Arial" w:cs="Arial" w:eastAsia="Arial" w:hAnsi="Arial"/>
          <w:sz w:val="24"/>
          <w:szCs w:val="24"/>
        </w:rPr>
        <w:t xml:space="preserve">The 100-acre reference node is the minimum economically self-sustaining installation. It contains 12–14 full grow units feeding a single centralized HTC/HTL conversion block, with full thermal loop integration, continuous biomass throughput, and a complete eight-layer revenue stack. At this scale, the system crosses from proof-of-function into proof-of-economics.</w:t>
      </w:r>
    </w:p>
    <w:p>
      <w:pPr>
        <w:pStyle w:val="Heading3"/>
        <w:spacing w:before="200" w:after="80"/>
      </w:pPr>
      <w:r>
        <w:rPr>
          <w:rFonts w:ascii="Arial" w:cs="Arial" w:eastAsia="Arial" w:hAnsi="Arial"/>
          <w:b/>
          <w:bCs/>
          <w:color w:val="404040"/>
          <w:sz w:val="26"/>
          <w:szCs w:val="26"/>
        </w:rPr>
        <w:t xml:space="preserve">2.3 Tier 3 — The Watershed Deployment Arc</w:t>
      </w:r>
    </w:p>
    <w:p>
      <w:pPr>
        <w:spacing w:before="60" w:after="60"/>
      </w:pPr>
      <w:r>
        <w:rPr>
          <w:rFonts w:ascii="Arial" w:cs="Arial" w:eastAsia="Arial" w:hAnsi="Arial"/>
          <w:sz w:val="24"/>
          <w:szCs w:val="24"/>
        </w:rPr>
        <w:t xml:space="preserve">A watershed contains a finite nutrient load. RRP nodes consume that load to produce biomass. Deployment is therefore constrained not by available land, but by available pollution. This is counterintuitive but important: the system becomes less profitable as the river gets cleaner. That is the correct outcome. It means the financial model is self-limiting in the right direction — expansion stops when the ecological mission is accomplished. Most basins support 2–4 economically viable nodes before saturation.</w:t>
      </w:r>
    </w:p>
    <w:p>
      <w:pPr>
        <w:pStyle w:val="Heading2"/>
        <w:spacing w:before="300" w:after="120"/>
      </w:pPr>
      <w:r>
        <w:rPr>
          <w:rFonts w:ascii="Arial" w:cs="Arial" w:eastAsia="Arial" w:hAnsi="Arial"/>
          <w:b/>
          <w:bCs/>
          <w:color w:val="2E75B6"/>
          <w:sz w:val="28"/>
          <w:szCs w:val="28"/>
        </w:rPr>
        <w:t xml:space="preserve">3. Two Deployment Models</w:t>
      </w:r>
    </w:p>
    <w:p>
      <w:pPr>
        <w:pStyle w:val="Heading3"/>
        <w:spacing w:before="200" w:after="80"/>
      </w:pPr>
      <w:r>
        <w:rPr>
          <w:rFonts w:ascii="Arial" w:cs="Arial" w:eastAsia="Arial" w:hAnsi="Arial"/>
          <w:b/>
          <w:bCs/>
          <w:color w:val="404040"/>
          <w:sz w:val="26"/>
          <w:szCs w:val="26"/>
        </w:rPr>
        <w:t xml:space="preserve">3.1 Model A — Integrated Node (On-Site HTC/HTL)</w:t>
      </w:r>
    </w:p>
    <w:p>
      <w:pPr>
        <w:spacing w:before="60" w:after="60"/>
      </w:pPr>
      <w:r>
        <w:rPr>
          <w:rFonts w:ascii="Arial" w:cs="Arial" w:eastAsia="Arial" w:hAnsi="Arial"/>
          <w:sz w:val="24"/>
          <w:szCs w:val="24"/>
        </w:rPr>
        <w:t xml:space="preserve">Model A is the full closed-loop configuration. The HTC/HTL thermochemical plant sits on-site alongside the greenhouse complex. Biomass moves from harvest to reactor by pipe or conveyor with no transport cost. Waste heat from the reactor feeds back into the greenhouses, reducing energy costs. The aqueous phase from thermochemical processing recirculates into the algae production loop. Model A is also the hub in a hub-and-spoke cluster.</w:t>
      </w:r>
    </w:p>
    <w:p>
      <w:pPr>
        <w:pStyle w:val="Heading3"/>
        <w:spacing w:before="200" w:after="80"/>
      </w:pPr>
      <w:r>
        <w:rPr>
          <w:rFonts w:ascii="Arial" w:cs="Arial" w:eastAsia="Arial" w:hAnsi="Arial"/>
          <w:b/>
          <w:bCs/>
          <w:color w:val="404040"/>
          <w:sz w:val="26"/>
          <w:szCs w:val="26"/>
        </w:rPr>
        <w:t xml:space="preserve">3.2 Model B — Distributed Biological Node (Off-Site HTC/HTL)</w:t>
      </w:r>
    </w:p>
    <w:p>
      <w:pPr>
        <w:spacing w:before="60" w:after="60"/>
      </w:pPr>
      <w:r>
        <w:rPr>
          <w:rFonts w:ascii="Arial" w:cs="Arial" w:eastAsia="Arial" w:hAnsi="Arial"/>
          <w:sz w:val="24"/>
          <w:szCs w:val="24"/>
        </w:rPr>
        <w:t xml:space="preserve">Model B deploys the full biological engine — biofiltration, evaporation greenhouse, greenhouse complex, routing grid — without an on-site thermochemical plant. Harvested biomass is baled, slurried, or pelletized and transported to a regional Model A hub for processing. Model B has a significantly lower entry capital requirement. It is the correct configuration for the pilot, for constrained or smaller sites, and for the satellite nodes in a hub-and-spoke cluster.</w:t>
      </w:r>
    </w:p>
    <w:p>
      <w:pPr>
        <w:pStyle w:val="Heading2"/>
        <w:spacing w:before="300" w:after="120"/>
      </w:pPr>
      <w:r>
        <w:rPr>
          <w:rFonts w:ascii="Arial" w:cs="Arial" w:eastAsia="Arial" w:hAnsi="Arial"/>
          <w:b/>
          <w:bCs/>
          <w:color w:val="2E75B6"/>
          <w:sz w:val="28"/>
          <w:szCs w:val="28"/>
        </w:rPr>
        <w:t xml:space="preserve">4. The Hub-and-Spoke Cluster Architecture</w:t>
      </w:r>
    </w:p>
    <w:p>
      <w:pPr>
        <w:spacing w:before="60" w:after="60"/>
      </w:pPr>
      <w:r>
        <w:rPr>
          <w:rFonts w:ascii="Arial" w:cs="Arial" w:eastAsia="Arial" w:hAnsi="Arial"/>
          <w:sz w:val="24"/>
          <w:szCs w:val="24"/>
        </w:rPr>
        <w:t xml:space="preserve">The fundamental operational challenge of any industrial reactor is feedstock continuity. HTC/HTL equipment is capital-intensive, has defined maintenance cycles, and runs most efficiently at steady-state. A single biological node cannot guarantee that continuity. The hub-and-spoke architecture solves this. One Model A node anchors a regional cluster as the processing hub. Between five and ten Model B biological satellite nodes supply it with biomass from different sites, different crop profiles, and different seasonal curves. When one satellite has a gap, the others are producing. The hub reactor stays fed.</w:t>
      </w:r>
    </w:p>
    <w:p>
      <w:pPr>
        <w:pStyle w:val="Heading3"/>
        <w:spacing w:before="200" w:after="80"/>
      </w:pPr>
      <w:r>
        <w:rPr>
          <w:rFonts w:ascii="Arial" w:cs="Arial" w:eastAsia="Arial" w:hAnsi="Arial"/>
          <w:b/>
          <w:bCs/>
          <w:color w:val="404040"/>
          <w:sz w:val="26"/>
          <w:szCs w:val="26"/>
        </w:rPr>
        <w:t xml:space="preserve">4.1 The Cluster Sizing Problem — And Why the Pilot Solves It</w:t>
      </w:r>
    </w:p>
    <w:p>
      <w:pPr>
        <w:spacing w:before="60" w:after="60"/>
      </w:pPr>
      <w:r>
        <w:rPr>
          <w:rFonts w:ascii="Arial" w:cs="Arial" w:eastAsia="Arial" w:hAnsi="Arial"/>
          <w:sz w:val="24"/>
          <w:szCs w:val="24"/>
        </w:rPr>
        <w:t xml:space="preserve">The correct cluster size depends on one number: how much biomass a single grow unit produces per unit time, consistently, across seasons. That number does not exist yet. The pilot measures exactly this. Until those numbers exist, all cluster size estimates are modeled from academic proxies. The range of 5–10 satellites per hub reflects that uncertainty honestly — it will narrow as pilot data accumulates.</w:t>
      </w:r>
    </w:p>
    <w:p>
      <w:pPr>
        <w:pStyle w:val="Heading2"/>
        <w:spacing w:before="300" w:after="120"/>
      </w:pPr>
      <w:r>
        <w:rPr>
          <w:rFonts w:ascii="Arial" w:cs="Arial" w:eastAsia="Arial" w:hAnsi="Arial"/>
          <w:b/>
          <w:bCs/>
          <w:color w:val="2E75B6"/>
          <w:sz w:val="28"/>
          <w:szCs w:val="28"/>
        </w:rPr>
        <w:t xml:space="preserve">5. The Modular Slot Framework</w:t>
      </w:r>
    </w:p>
    <w:p>
      <w:pPr>
        <w:spacing w:before="60" w:after="60"/>
      </w:pPr>
      <w:r>
        <w:rPr>
          <w:rFonts w:ascii="Arial" w:cs="Arial" w:eastAsia="Arial" w:hAnsi="Arial"/>
          <w:sz w:val="24"/>
          <w:szCs w:val="24"/>
        </w:rPr>
        <w:t xml:space="preserve">Because actual per-species yield data for this integrated system does not yet exist, the financial model is built on slot assumptions rather than crop assumptions. Each greenhouse in the RRP complex is treated as a standardized production slot with defined characteristics — turnover cycle, nutrient uptake profile, biomass output range, and HTC/HTL suitability — regardless of which specific species fills it. When pilot data becomes available, it updates the slot parameters. The financial model recalculates automatically.</w:t>
      </w:r>
    </w:p>
    <w:p>
      <w:pPr>
        <w:pStyle w:val="ListParagraph"/>
        <w:numPr>
          <w:ilvl w:val="0"/>
          <w:numId w:val="2"/>
        </w:numPr>
        <w:spacing w:before="40" w:after="40"/>
      </w:pPr>
      <w:r>
        <w:rPr>
          <w:rFonts w:ascii="Arial" w:cs="Arial" w:eastAsia="Arial" w:hAnsi="Arial"/>
          <w:sz w:val="24"/>
          <w:szCs w:val="24"/>
        </w:rPr>
        <w:t xml:space="preserve">Slot Type A — High-turnover aquatic / algae: Days to weeks. Very high N + P uptake. Excellent HTC suitability. ⚑ Provisional.</w:t>
      </w:r>
    </w:p>
    <w:p>
      <w:pPr>
        <w:pStyle w:val="ListParagraph"/>
        <w:numPr>
          <w:ilvl w:val="0"/>
          <w:numId w:val="2"/>
        </w:numPr>
        <w:spacing w:before="40" w:after="40"/>
      </w:pPr>
      <w:r>
        <w:rPr>
          <w:rFonts w:ascii="Arial" w:cs="Arial" w:eastAsia="Arial" w:hAnsi="Arial"/>
          <w:sz w:val="24"/>
          <w:szCs w:val="24"/>
        </w:rPr>
        <w:t xml:space="preserve">Slot Type B — Fast-fiber terrestrial: 6–12 weeks. High N, moderate P. Good HTC suitability. ⚑ Provisional.</w:t>
      </w:r>
    </w:p>
    <w:p>
      <w:pPr>
        <w:pStyle w:val="ListParagraph"/>
        <w:numPr>
          <w:ilvl w:val="0"/>
          <w:numId w:val="2"/>
        </w:numPr>
        <w:spacing w:before="40" w:after="40"/>
      </w:pPr>
      <w:r>
        <w:rPr>
          <w:rFonts w:ascii="Arial" w:cs="Arial" w:eastAsia="Arial" w:hAnsi="Arial"/>
          <w:sz w:val="24"/>
          <w:szCs w:val="24"/>
        </w:rPr>
        <w:t xml:space="preserve">Slot Type C — Slow-fiber / structural: 12–24 weeks. Moderate N + P. Good HTC suitability. ⚑ Provisional.</w:t>
      </w:r>
    </w:p>
    <w:p>
      <w:pPr>
        <w:pStyle w:val="ListParagraph"/>
        <w:numPr>
          <w:ilvl w:val="0"/>
          <w:numId w:val="2"/>
        </w:numPr>
        <w:spacing w:before="40" w:after="40"/>
      </w:pPr>
      <w:r>
        <w:rPr>
          <w:rFonts w:ascii="Arial" w:cs="Arial" w:eastAsia="Arial" w:hAnsi="Arial"/>
          <w:sz w:val="24"/>
          <w:szCs w:val="24"/>
        </w:rPr>
        <w:t xml:space="preserve">Slot Type D — Textile fiber: 12–20 weeks. Moderate N, low P. Moderate HTC suitability. ⚑ Provisional.</w:t>
      </w:r>
    </w:p>
    <w:p>
      <w:pPr>
        <w:pStyle w:val="ListParagraph"/>
        <w:numPr>
          <w:ilvl w:val="0"/>
          <w:numId w:val="2"/>
        </w:numPr>
        <w:spacing w:before="40" w:after="40"/>
      </w:pPr>
      <w:r>
        <w:rPr>
          <w:rFonts w:ascii="Arial" w:cs="Arial" w:eastAsia="Arial" w:hAnsi="Arial"/>
          <w:sz w:val="24"/>
          <w:szCs w:val="24"/>
        </w:rPr>
        <w:t xml:space="preserve">Slot Type E — Aquatic / wetland macrophyte: 4–8 weeks. High P, moderate N. Good HTC suitability. ⚑ Provisional.</w:t>
      </w:r>
    </w:p>
    <w:p>
      <w:pPr>
        <w:spacing w:before="60" w:after="60"/>
      </w:pPr>
      <w:r>
        <w:rPr>
          <w:rFonts w:ascii="Arial" w:cs="Arial" w:eastAsia="Arial" w:hAnsi="Arial"/>
          <w:sz w:val="24"/>
          <w:szCs w:val="24"/>
        </w:rPr>
        <w:t xml:space="preserve">All figures flagged ⚑ PROVISIONAL are derived from published academic literature for individual species under controlled conditions. They are placeholders only. Actual per-slot performance data will be generated by the RRP pilot per RRP8.</w:t>
      </w:r>
    </w:p>
    <w:p>
      <w:pPr>
        <w:pStyle w:val="Heading2"/>
        <w:spacing w:before="300" w:after="120"/>
      </w:pPr>
      <w:r>
        <w:rPr>
          <w:rFonts w:ascii="Arial" w:cs="Arial" w:eastAsia="Arial" w:hAnsi="Arial"/>
          <w:b/>
          <w:bCs/>
          <w:color w:val="2E75B6"/>
          <w:sz w:val="28"/>
          <w:szCs w:val="28"/>
        </w:rPr>
        <w:t xml:space="preserve">6. Strategic Summary</w:t>
      </w:r>
    </w:p>
    <w:p>
      <w:pPr>
        <w:spacing w:before="60" w:after="60"/>
      </w:pPr>
      <w:r>
        <w:rPr>
          <w:rFonts w:ascii="Arial" w:cs="Arial" w:eastAsia="Arial" w:hAnsi="Arial"/>
          <w:sz w:val="24"/>
          <w:szCs w:val="24"/>
        </w:rPr>
        <w:t xml:space="preserve">The pilot is not a demonstration — it is the data collection instrument that sizes every reactor cluster that follows. The 100-acre reference node is the minimum economic unit. The hub-and-spoke cluster is the operating model for regional scale. The financial model is intentionally modular: slot assumptions replace species assumptions; provisional figures are flagged; real data replaces them as the pilot generates it. This is the model's most defensible feature.</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Bright Meadow Group, River Refugium Project Technical Whitepaper. CF/BMG Internal, 2025.</w:t>
      </w:r>
    </w:p>
    <w:p>
      <w:pPr>
        <w:spacing w:before="40" w:after="40"/>
        <w:ind w:left="360"/>
      </w:pPr>
      <w:r>
        <w:rPr>
          <w:rFonts w:ascii="Arial" w:cs="Arial" w:eastAsia="Arial" w:hAnsi="Arial"/>
          <w:i/>
          <w:iCs/>
          <w:color w:val="666666"/>
          <w:sz w:val="20"/>
          <w:szCs w:val="20"/>
        </w:rPr>
        <w:t xml:space="preserve">2. Biomass Yield &amp; Routing Grid Validation Plan, RRP Pilot Site Framework, 2025.</w:t>
      </w:r>
    </w:p>
    <w:p>
      <w:pPr>
        <w:spacing w:before="40" w:after="40"/>
        <w:ind w:left="360"/>
      </w:pPr>
      <w:r>
        <w:rPr>
          <w:rFonts w:ascii="Arial" w:cs="Arial" w:eastAsia="Arial" w:hAnsi="Arial"/>
          <w:i/>
          <w:iCs/>
          <w:color w:val="666666"/>
          <w:sz w:val="20"/>
          <w:szCs w:val="20"/>
        </w:rPr>
        <w:t xml:space="preserve">3. USGS/USDA Nutrient Export Data for Mixed Agricultural Basins. National print editions.</w:t>
      </w:r>
    </w:p>
    <w:p>
      <w:pPr>
        <w:spacing w:before="40" w:after="40"/>
        <w:ind w:left="360"/>
      </w:pPr>
      <w:r>
        <w:rPr>
          <w:rFonts w:ascii="Arial" w:cs="Arial" w:eastAsia="Arial" w:hAnsi="Arial"/>
          <w:i/>
          <w:iCs/>
          <w:color w:val="666666"/>
          <w:sz w:val="20"/>
          <w:szCs w:val="20"/>
        </w:rPr>
        <w:t xml:space="preserve">4. Academic yield proxies: Chlorella/Spirulina — Mata et al. (2010); Hemp — van der Werf (2004); Miscanthus — Heaton et al. (2008); Willow — Haughton et al. (2009); Duckweed — Körner et al. (2003). All provisional ⚑.</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RRP7  |  RRP0002.8</w:t>
            </w:r>
          </w:p>
          <w:p>
            <w:pPr>
              <w:spacing w:before="0" w:after="0"/>
            </w:pPr>
            <w:r>
              <w:rPr>
                <w:rFonts w:ascii="Arial" w:cs="Arial" w:eastAsia="Arial" w:hAnsi="Arial"/>
                <w:b/>
                <w:bCs/>
                <w:color w:val="FFFFFF"/>
                <w:sz w:val="36"/>
                <w:szCs w:val="36"/>
              </w:rPr>
              <w:t xml:space="preserve">Governance, Regulatory &amp; Community Integration</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The River Refugium Project occupies a rare position in modern infrastructure: it solves a regulatory problem, a political problem, an ecological problem, and an economic problem simultaneously. This document describes the governance model, regulatory pathways, community integration strategy, and capital structure that allow RRP nodes to be sited, permitted, funded, and operated across municipal, tribal, state, and federal jurisdictions. The core governance advantage is that the system produces a measurable, verifiable environmental benefit without introducing new regulated discharges — making it a net reducer rather than a discharger under Clean Water Act frameworks.</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1. Regulatory Positioning</w:t>
      </w:r>
    </w:p>
    <w:p>
      <w:pPr>
        <w:pStyle w:val="Heading3"/>
        <w:spacing w:before="200" w:after="80"/>
      </w:pPr>
      <w:r>
        <w:rPr>
          <w:rFonts w:ascii="Arial" w:cs="Arial" w:eastAsia="Arial" w:hAnsi="Arial"/>
          <w:b/>
          <w:bCs/>
          <w:color w:val="404040"/>
          <w:sz w:val="26"/>
          <w:szCs w:val="26"/>
        </w:rPr>
        <w:t xml:space="preserve">1.1 Clean Water Act Alignment</w:t>
      </w:r>
    </w:p>
    <w:p>
      <w:pPr>
        <w:spacing w:before="60" w:after="60"/>
      </w:pPr>
      <w:r>
        <w:rPr>
          <w:rFonts w:ascii="Arial" w:cs="Arial" w:eastAsia="Arial" w:hAnsi="Arial"/>
          <w:sz w:val="24"/>
          <w:szCs w:val="24"/>
        </w:rPr>
        <w:t xml:space="preserve">RRP nodes remove pollutants rather than discharge them, placing the system in a favorable category relative to NPDES permitting, 303(d) impaired water listings, Total Maximum Daily Load frameworks, state revolving funds, and watershed nutrient caps. Because the system does not introduce new regulated effluents, permitting becomes a matter of site layout, intake protections, and construction compliance rather than hazardous processes or emissions.</w:t>
      </w:r>
    </w:p>
    <w:p>
      <w:pPr>
        <w:pStyle w:val="Heading3"/>
        <w:spacing w:before="200" w:after="80"/>
      </w:pPr>
      <w:r>
        <w:rPr>
          <w:rFonts w:ascii="Arial" w:cs="Arial" w:eastAsia="Arial" w:hAnsi="Arial"/>
          <w:b/>
          <w:bCs/>
          <w:color w:val="404040"/>
          <w:sz w:val="26"/>
          <w:szCs w:val="26"/>
        </w:rPr>
        <w:t xml:space="preserve">1.2 Three Federal Agencies, One Win</w:t>
      </w:r>
    </w:p>
    <w:p>
      <w:pPr>
        <w:spacing w:before="60" w:after="60"/>
      </w:pPr>
      <w:r>
        <w:rPr>
          <w:rFonts w:ascii="Arial" w:cs="Arial" w:eastAsia="Arial" w:hAnsi="Arial"/>
          <w:sz w:val="24"/>
          <w:szCs w:val="24"/>
        </w:rPr>
        <w:t xml:space="preserve">EPA sees nutrient removal and quantifiable watershed metrics. USDA sees rural economic uplift and fiber and biomass production. DOE sees bio-crude and hydrothermal processing aligned with decarbonization pathways. The RRP is the rare infrastructure project that every agency believes falls within its mandate. That is a political advantage worth stating explicitly.</w:t>
      </w:r>
    </w:p>
    <w:p>
      <w:pPr>
        <w:pStyle w:val="Heading2"/>
        <w:spacing w:before="300" w:after="120"/>
      </w:pPr>
      <w:r>
        <w:rPr>
          <w:rFonts w:ascii="Arial" w:cs="Arial" w:eastAsia="Arial" w:hAnsi="Arial"/>
          <w:b/>
          <w:bCs/>
          <w:color w:val="2E75B6"/>
          <w:sz w:val="28"/>
          <w:szCs w:val="28"/>
        </w:rPr>
        <w:t xml:space="preserve">2. Tribal Sovereignty Integration</w:t>
      </w:r>
    </w:p>
    <w:p>
      <w:pPr>
        <w:spacing w:before="60" w:after="60"/>
      </w:pPr>
      <w:r>
        <w:rPr>
          <w:rFonts w:ascii="Arial" w:cs="Arial" w:eastAsia="Arial" w:hAnsi="Arial"/>
          <w:sz w:val="24"/>
          <w:szCs w:val="24"/>
        </w:rPr>
        <w:t xml:space="preserve">Tribal nations control sovereign water bodies, river frontage, trust lands, degraded lands suitable for RRP siting, and direct access to federal funding streams others cannot reach. RRP nodes provide water quality protection, long-term employment, sovereign control of environmental assets, energy and carbon-credit revenue streams, and self-contained industrial value chains. Governance mechanisms include MOUs, co-owned LLCs, 638 contracts, cooperative management boards, and land-use compacts.</w:t>
      </w:r>
    </w:p>
    <w:p>
      <w:pPr>
        <w:spacing w:before="60" w:after="60"/>
      </w:pPr>
      <w:r>
        <w:rPr>
          <w:rFonts w:ascii="Arial" w:cs="Arial" w:eastAsia="Arial" w:hAnsi="Arial"/>
          <w:sz w:val="24"/>
          <w:szCs w:val="24"/>
        </w:rPr>
        <w:t xml:space="preserve">The political, economic, and ecological incentives align cleanly: tribes become regional environmental stewards with industrial revenue. No other RRP partner category offers this combination of alignment, funding access, and sovereign permitting advantage.</w:t>
      </w:r>
    </w:p>
    <w:p>
      <w:pPr>
        <w:pStyle w:val="Heading2"/>
        <w:spacing w:before="300" w:after="120"/>
      </w:pPr>
      <w:r>
        <w:rPr>
          <w:rFonts w:ascii="Arial" w:cs="Arial" w:eastAsia="Arial" w:hAnsi="Arial"/>
          <w:b/>
          <w:bCs/>
          <w:color w:val="2E75B6"/>
          <w:sz w:val="28"/>
          <w:szCs w:val="28"/>
        </w:rPr>
        <w:t xml:space="preserve">3. Municipal &amp; Regional Governance</w:t>
      </w:r>
    </w:p>
    <w:p>
      <w:pPr>
        <w:spacing w:before="60" w:after="60"/>
      </w:pPr>
      <w:r>
        <w:rPr>
          <w:rFonts w:ascii="Arial" w:cs="Arial" w:eastAsia="Arial" w:hAnsi="Arial"/>
          <w:sz w:val="24"/>
          <w:szCs w:val="24"/>
        </w:rPr>
        <w:t xml:space="preserve">Municipalities want cleaner rivers without new taxes, positive ESG narratives, improved stormwater compliance, and long-term job creation — without expensive wastewater plant upgrades, new liabilities, federal enforcement actions, or angry ratepayers. RRP nodes deliver exactly that. Watershed authorities gain measurable nutrient reductions, automated reporting, data for grant leverage, and distributed remediation points across tributaries.</w:t>
      </w:r>
    </w:p>
    <w:p>
      <w:pPr>
        <w:pStyle w:val="Heading2"/>
        <w:spacing w:before="300" w:after="120"/>
      </w:pPr>
      <w:r>
        <w:rPr>
          <w:rFonts w:ascii="Arial" w:cs="Arial" w:eastAsia="Arial" w:hAnsi="Arial"/>
          <w:b/>
          <w:bCs/>
          <w:color w:val="2E75B6"/>
          <w:sz w:val="28"/>
          <w:szCs w:val="28"/>
        </w:rPr>
        <w:t xml:space="preserve">4. Capital Stack</w:t>
      </w:r>
    </w:p>
    <w:p>
      <w:pPr>
        <w:spacing w:before="60" w:after="60"/>
      </w:pPr>
      <w:r>
        <w:rPr>
          <w:rFonts w:ascii="Arial" w:cs="Arial" w:eastAsia="Arial" w:hAnsi="Arial"/>
          <w:sz w:val="24"/>
          <w:szCs w:val="24"/>
        </w:rPr>
        <w:t xml:space="preserve">The RRP capital stack is deliberately diversified to draw from multiple funding sources simultaneously — a structural characteristic that distinguishes environmental infrastructure from commercial real estate or manufacturing investment. Sources include: USDA Rural Development grants and loans; EPA 319(h) watershed funding; DOE bioenergy pilot grants; state infrastructure incentives; tribal funding channels; municipal and utility partnerships; private capital seeking ESG returns; and carbon and nutrient credit revenue streams.</w:t>
      </w:r>
    </w:p>
    <w:p>
      <w:pPr>
        <w:pStyle w:val="Heading2"/>
        <w:spacing w:before="300" w:after="120"/>
      </w:pPr>
      <w:r>
        <w:rPr>
          <w:rFonts w:ascii="Arial" w:cs="Arial" w:eastAsia="Arial" w:hAnsi="Arial"/>
          <w:b/>
          <w:bCs/>
          <w:color w:val="2E75B6"/>
          <w:sz w:val="28"/>
          <w:szCs w:val="28"/>
        </w:rPr>
        <w:t xml:space="preserve">5. Deployment Partnership Models</w:t>
      </w:r>
    </w:p>
    <w:p>
      <w:pPr>
        <w:spacing w:before="60" w:after="60"/>
      </w:pPr>
      <w:r>
        <w:rPr>
          <w:rFonts w:ascii="Arial" w:cs="Arial" w:eastAsia="Arial" w:hAnsi="Arial"/>
          <w:sz w:val="24"/>
          <w:szCs w:val="24"/>
        </w:rPr>
        <w:t xml:space="preserve">Nodes can be municipally owned, tribally owned, privately owned, cooperatively owned, or structured as mixed-ownership with revenue-share agreements. RRP governance is modular in the same sense the engineering is modular — the governance structure adapts to the site and the partners without changing the system architecture.</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U.S. EPA, Clean Water Act Section 303(d) and TMDL Program Implementation. EPA/841-F-07-003.</w:t>
      </w:r>
    </w:p>
    <w:p>
      <w:pPr>
        <w:spacing w:before="40" w:after="40"/>
        <w:ind w:left="360"/>
      </w:pPr>
      <w:r>
        <w:rPr>
          <w:rFonts w:ascii="Arial" w:cs="Arial" w:eastAsia="Arial" w:hAnsi="Arial"/>
          <w:i/>
          <w:iCs/>
          <w:color w:val="666666"/>
          <w:sz w:val="20"/>
          <w:szCs w:val="20"/>
        </w:rPr>
        <w:t xml:space="preserve">2. U.S. DOE Bioenergy Technologies Office, Hydrothermal Processing Strategy Documents.</w:t>
      </w:r>
    </w:p>
    <w:p>
      <w:pPr>
        <w:spacing w:before="40" w:after="40"/>
        <w:ind w:left="360"/>
      </w:pPr>
      <w:r>
        <w:rPr>
          <w:rFonts w:ascii="Arial" w:cs="Arial" w:eastAsia="Arial" w:hAnsi="Arial"/>
          <w:i/>
          <w:iCs/>
          <w:color w:val="666666"/>
          <w:sz w:val="20"/>
          <w:szCs w:val="20"/>
        </w:rPr>
        <w:t xml:space="preserve">3. Federal Indian Water Rights and Tribal Infrastructure Funding Reports; Bureau of Indian Affairs Infrastructure Programs.</w:t>
      </w:r>
    </w:p>
    <w:p>
      <w:pPr>
        <w:spacing w:before="40" w:after="40"/>
        <w:ind w:left="360"/>
      </w:pPr>
      <w:r>
        <w:rPr>
          <w:rFonts w:ascii="Arial" w:cs="Arial" w:eastAsia="Arial" w:hAnsi="Arial"/>
          <w:i/>
          <w:iCs/>
          <w:color w:val="666666"/>
          <w:sz w:val="20"/>
          <w:szCs w:val="20"/>
        </w:rPr>
        <w:t xml:space="preserve">4. Watershed Authority Governance Manuals, Mixed-Jurisdiction Regional Planning Literature.</w:t>
      </w:r>
    </w:p>
    <w:p>
      <w:pPr>
        <w:spacing w:before="40" w:after="40"/>
        <w:ind w:left="360"/>
      </w:pPr>
      <w:r>
        <w:rPr>
          <w:rFonts w:ascii="Arial" w:cs="Arial" w:eastAsia="Arial" w:hAnsi="Arial"/>
          <w:i/>
          <w:iCs/>
          <w:color w:val="666666"/>
          <w:sz w:val="20"/>
          <w:szCs w:val="20"/>
        </w:rPr>
        <w:t xml:space="preserve">5. USDA Rural Development, Business &amp; Industry Loan Program Guidelines; EPA 319(h) Nonpoint Source Program Funding.</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RRP8  |  RRP0002.9</w:t>
            </w:r>
          </w:p>
          <w:p>
            <w:pPr>
              <w:spacing w:before="0" w:after="0"/>
            </w:pPr>
            <w:r>
              <w:rPr>
                <w:rFonts w:ascii="Arial" w:cs="Arial" w:eastAsia="Arial" w:hAnsi="Arial"/>
                <w:b/>
                <w:bCs/>
                <w:color w:val="FFFFFF"/>
                <w:sz w:val="36"/>
                <w:szCs w:val="36"/>
              </w:rPr>
              <w:t xml:space="preserve">Verification, Monitoring &amp; Performance Certification</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Environmental trust must be earned, and the only currency is data. The RRP is designed as a fully open-source environmental engineering platform where all operational data, sensor logs, process outputs, and water-quality measurements are publicly accessible, academically usable, regulator-friendly, scientifically auditable, and permanently archived. This document describes the five axes of measurement, the monitoring architecture, the reporting framework, and — critically — the role of the pilot's data collection protocol in replacing provisional financial model assumptions with measured values. RRP8 is the GOVERNANCE DOCUMENT for all measurement standards referenced throughout the series.</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1. Open Data Philosophy</w:t>
      </w:r>
    </w:p>
    <w:p>
      <w:pPr>
        <w:spacing w:before="60" w:after="60"/>
      </w:pPr>
      <w:r>
        <w:rPr>
          <w:rFonts w:ascii="Arial" w:cs="Arial" w:eastAsia="Arial" w:hAnsi="Arial"/>
          <w:sz w:val="24"/>
          <w:szCs w:val="24"/>
        </w:rPr>
        <w:t xml:space="preserve">The RRP's founding position on data transparency is simple: environmental restoration should not rely on proprietary secrecy, and environmental trust must be earned through open data. All non-proprietary system elements — hydraulic flow data, nutrient concentrations, biomass yields, thermochemical conversion efficiency, greenhouse production metrics, discharge water quality, energy integration data — are published into an open-access repository. Every recognized learning institution receives full free read access, from K–12 through doctoral programs.</w:t>
      </w:r>
    </w:p>
    <w:p>
      <w:pPr>
        <w:spacing w:before="60" w:after="60"/>
      </w:pPr>
      <w:r>
        <w:rPr>
          <w:rFonts w:ascii="Arial" w:cs="Arial" w:eastAsia="Arial" w:hAnsi="Arial"/>
          <w:sz w:val="24"/>
          <w:szCs w:val="24"/>
        </w:rPr>
        <w:t xml:space="preserve">This is not a marketing position. It is a structural commitment built into the system architecture. The open-data design ensures no selective disclosure, no proprietary pollution accounting, no unverifiable claims, and no data black boxes. Regulators, researchers, and the public see the same receipts.</w:t>
      </w:r>
    </w:p>
    <w:p>
      <w:pPr>
        <w:pStyle w:val="Heading2"/>
        <w:spacing w:before="300" w:after="120"/>
      </w:pPr>
      <w:r>
        <w:rPr>
          <w:rFonts w:ascii="Arial" w:cs="Arial" w:eastAsia="Arial" w:hAnsi="Arial"/>
          <w:b/>
          <w:bCs/>
          <w:color w:val="2E75B6"/>
          <w:sz w:val="28"/>
          <w:szCs w:val="28"/>
        </w:rPr>
        <w:t xml:space="preserve">2. The Five Axes of Verification</w:t>
      </w:r>
    </w:p>
    <w:p>
      <w:pPr>
        <w:pStyle w:val="Heading3"/>
        <w:spacing w:before="200" w:after="80"/>
      </w:pPr>
      <w:r>
        <w:rPr>
          <w:rFonts w:ascii="Arial" w:cs="Arial" w:eastAsia="Arial" w:hAnsi="Arial"/>
          <w:b/>
          <w:bCs/>
          <w:color w:val="404040"/>
          <w:sz w:val="26"/>
          <w:szCs w:val="26"/>
        </w:rPr>
        <w:t xml:space="preserve">Axis 1 — Hydraulic Data</w:t>
      </w:r>
    </w:p>
    <w:p>
      <w:pPr>
        <w:spacing w:before="60" w:after="60"/>
      </w:pPr>
      <w:r>
        <w:rPr>
          <w:rFonts w:ascii="Arial" w:cs="Arial" w:eastAsia="Arial" w:hAnsi="Arial"/>
          <w:sz w:val="24"/>
          <w:szCs w:val="24"/>
        </w:rPr>
        <w:t xml:space="preserve">Measured continuously at river intake, forebay outflow, cistern inflow and outflow, all six biofiltration tanks, greenhouse recirculation loops, the evaporation greenhouse, and discharge points. Metrics include flow rate, residence time, pump efficiency, surge behavior, and routing volumes. This axis confirms that water moves exactly as the model predicts.</w:t>
      </w:r>
    </w:p>
    <w:p>
      <w:pPr>
        <w:pStyle w:val="Heading3"/>
        <w:spacing w:before="200" w:after="80"/>
      </w:pPr>
      <w:r>
        <w:rPr>
          <w:rFonts w:ascii="Arial" w:cs="Arial" w:eastAsia="Arial" w:hAnsi="Arial"/>
          <w:b/>
          <w:bCs/>
          <w:color w:val="404040"/>
          <w:sz w:val="26"/>
          <w:szCs w:val="26"/>
        </w:rPr>
        <w:t xml:space="preserve">Axis 2 — Water Quality</w:t>
      </w:r>
    </w:p>
    <w:p>
      <w:pPr>
        <w:spacing w:before="60" w:after="60"/>
      </w:pPr>
      <w:r>
        <w:rPr>
          <w:rFonts w:ascii="Arial" w:cs="Arial" w:eastAsia="Arial" w:hAnsi="Arial"/>
          <w:sz w:val="24"/>
          <w:szCs w:val="24"/>
        </w:rPr>
        <w:t xml:space="preserve">Measured at all critical control points: nitrate, nitrite, ammonia, phosphorus, pH, ORP, dissolved oxygen, conductivity, turbidity, suspended solids, and temperature. This axis proves nutrient removal and system stability — the environmental mandate.</w:t>
      </w:r>
    </w:p>
    <w:p>
      <w:pPr>
        <w:pStyle w:val="Heading3"/>
        <w:spacing w:before="200" w:after="80"/>
      </w:pPr>
      <w:r>
        <w:rPr>
          <w:rFonts w:ascii="Arial" w:cs="Arial" w:eastAsia="Arial" w:hAnsi="Arial"/>
          <w:b/>
          <w:bCs/>
          <w:color w:val="404040"/>
          <w:sz w:val="26"/>
          <w:szCs w:val="26"/>
        </w:rPr>
        <w:t xml:space="preserve">Axis 3 — Biological Productivity</w:t>
      </w:r>
    </w:p>
    <w:p>
      <w:pPr>
        <w:spacing w:before="60" w:after="60"/>
      </w:pPr>
      <w:r>
        <w:rPr>
          <w:rFonts w:ascii="Arial" w:cs="Arial" w:eastAsia="Arial" w:hAnsi="Arial"/>
          <w:sz w:val="24"/>
          <w:szCs w:val="24"/>
        </w:rPr>
        <w:t xml:space="preserve">Collected across all greenhouse structures: biomass produced per crop, algae lipid content, harvest frequency, disease detection, substrate performance, downtime patterns, and routing grid performance. This axis validates the economic model and feedstock reliability. It is also the primary data collection target of the pilot — the numbers it generates replace provisional financial model assumptions with measured values.</w:t>
      </w:r>
    </w:p>
    <w:p>
      <w:pPr>
        <w:pStyle w:val="Heading3"/>
        <w:spacing w:before="200" w:after="80"/>
      </w:pPr>
      <w:r>
        <w:rPr>
          <w:rFonts w:ascii="Arial" w:cs="Arial" w:eastAsia="Arial" w:hAnsi="Arial"/>
          <w:b/>
          <w:bCs/>
          <w:color w:val="404040"/>
          <w:sz w:val="26"/>
          <w:szCs w:val="26"/>
        </w:rPr>
        <w:t xml:space="preserve">Axis 4 — Thermochemical Processing</w:t>
      </w:r>
    </w:p>
    <w:p>
      <w:pPr>
        <w:spacing w:before="60" w:after="60"/>
      </w:pPr>
      <w:r>
        <w:rPr>
          <w:rFonts w:ascii="Arial" w:cs="Arial" w:eastAsia="Arial" w:hAnsi="Arial"/>
          <w:sz w:val="24"/>
          <w:szCs w:val="24"/>
        </w:rPr>
        <w:t xml:space="preserve">Measured within HTC/HTL reactors: temperature and pressure, residence time, char yield, oil yield, aqueous-phase characteristics, and gas fraction composition. This axis verifies conversion efficiency and product-market readiness for Model A nodes.</w:t>
      </w:r>
    </w:p>
    <w:p>
      <w:pPr>
        <w:pStyle w:val="Heading3"/>
        <w:spacing w:before="200" w:after="80"/>
      </w:pPr>
      <w:r>
        <w:rPr>
          <w:rFonts w:ascii="Arial" w:cs="Arial" w:eastAsia="Arial" w:hAnsi="Arial"/>
          <w:b/>
          <w:bCs/>
          <w:color w:val="404040"/>
          <w:sz w:val="26"/>
          <w:szCs w:val="26"/>
        </w:rPr>
        <w:t xml:space="preserve">Axis 5 — Environmental Output &amp; Discharge</w:t>
      </w:r>
    </w:p>
    <w:p>
      <w:pPr>
        <w:spacing w:before="60" w:after="60"/>
      </w:pPr>
      <w:r>
        <w:rPr>
          <w:rFonts w:ascii="Arial" w:cs="Arial" w:eastAsia="Arial" w:hAnsi="Arial"/>
          <w:sz w:val="24"/>
          <w:szCs w:val="24"/>
        </w:rPr>
        <w:t xml:space="preserve">Collected at system outflow and surrounding environment: nitrogen reduction, phosphorus reduction, dissolved oxygen improvements, turbidity improvements, and temperature stability. This axis proves the environmental benefit — the core mandate that everything else serves.</w:t>
      </w:r>
    </w:p>
    <w:p>
      <w:pPr>
        <w:pStyle w:val="Heading2"/>
        <w:spacing w:before="300" w:after="120"/>
      </w:pPr>
      <w:r>
        <w:rPr>
          <w:rFonts w:ascii="Arial" w:cs="Arial" w:eastAsia="Arial" w:hAnsi="Arial"/>
          <w:b/>
          <w:bCs/>
          <w:color w:val="2E75B6"/>
          <w:sz w:val="28"/>
          <w:szCs w:val="28"/>
        </w:rPr>
        <w:t xml:space="preserve">3. The Pilot as the Financial Model's Data Source</w:t>
      </w:r>
    </w:p>
    <w:p>
      <w:pPr>
        <w:spacing w:before="60" w:after="60"/>
      </w:pPr>
      <w:r>
        <w:rPr>
          <w:rFonts w:ascii="Arial" w:cs="Arial" w:eastAsia="Arial" w:hAnsi="Arial"/>
          <w:sz w:val="24"/>
          <w:szCs w:val="24"/>
        </w:rPr>
        <w:t xml:space="preserve">The RRP financial model (Version 2.0) uses provisional academic proxies for all biomass yield, nutrient uptake, and conversion efficiency figures. These proxies are flagged throughout with ⚑ markers. The pilot's Axis 3 data collection is the direct replacement mechanism. Monthly harvest weights per greenhouse, nutrient uptake rates per crop type, seasonal yield variation, and maintenance cycle impacts are the four measurements that will replace provisional assumptions with real numbers. When those numbers exist, the financial model recalculates automatically. The structure does not change. The inputs do.</w:t>
      </w:r>
    </w:p>
    <w:p>
      <w:pPr>
        <w:spacing w:before="60" w:after="60"/>
      </w:pPr>
      <w:r>
        <w:rPr>
          <w:rFonts w:ascii="Arial" w:cs="Arial" w:eastAsia="Arial" w:hAnsi="Arial"/>
          <w:sz w:val="24"/>
          <w:szCs w:val="24"/>
        </w:rPr>
        <w:t xml:space="preserve">This is why the pilot is not a demonstration. It is a measurement instrument. Every month of pilot data is a month closer to an underwriting case that needs no provisional flags — just receipts.</w:t>
      </w:r>
    </w:p>
    <w:p>
      <w:pPr>
        <w:pStyle w:val="Heading2"/>
        <w:spacing w:before="300" w:after="120"/>
      </w:pPr>
      <w:r>
        <w:rPr>
          <w:rFonts w:ascii="Arial" w:cs="Arial" w:eastAsia="Arial" w:hAnsi="Arial"/>
          <w:b/>
          <w:bCs/>
          <w:color w:val="2E75B6"/>
          <w:sz w:val="28"/>
          <w:szCs w:val="28"/>
        </w:rPr>
        <w:t xml:space="preserve">4. Reporting Framework</w:t>
      </w:r>
    </w:p>
    <w:p>
      <w:pPr>
        <w:spacing w:before="60" w:after="60"/>
      </w:pPr>
      <w:r>
        <w:rPr>
          <w:rFonts w:ascii="Arial" w:cs="Arial" w:eastAsia="Arial" w:hAnsi="Arial"/>
          <w:sz w:val="24"/>
          <w:szCs w:val="24"/>
        </w:rPr>
        <w:t xml:space="preserve">Four reporting streams run continuously: regulator-facing reports for EPA regional offices, state environmental agencies, tribal environmental departments, and municipal watershed authorities; academic and research reports designed to support peer-reviewed publication; community-facing transparency reports showing nutrients removed, biomass produced, and river clarity change in accessible language; and industrial and ESG reports for investors showing carbon sequestration, biochar permanence values, and remediation value per dollar invested.</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Bright Meadow Group, "RRP Transparency &amp; Verification Framework." CF/BMG Internal, 2025.</w:t>
      </w:r>
    </w:p>
    <w:p>
      <w:pPr>
        <w:spacing w:before="40" w:after="40"/>
        <w:ind w:left="360"/>
      </w:pPr>
      <w:r>
        <w:rPr>
          <w:rFonts w:ascii="Arial" w:cs="Arial" w:eastAsia="Arial" w:hAnsi="Arial"/>
          <w:i/>
          <w:iCs/>
          <w:color w:val="666666"/>
          <w:sz w:val="20"/>
          <w:szCs w:val="20"/>
        </w:rPr>
        <w:t xml:space="preserve">2. Bright Meadow Group, "Academic Access Memorandum Series." RRP Educational Partners, 2025.</w:t>
      </w:r>
    </w:p>
    <w:p>
      <w:pPr>
        <w:spacing w:before="40" w:after="40"/>
        <w:ind w:left="360"/>
      </w:pPr>
      <w:r>
        <w:rPr>
          <w:rFonts w:ascii="Arial" w:cs="Arial" w:eastAsia="Arial" w:hAnsi="Arial"/>
          <w:i/>
          <w:iCs/>
          <w:color w:val="666666"/>
          <w:sz w:val="20"/>
          <w:szCs w:val="20"/>
        </w:rPr>
        <w:t xml:space="preserve">3. Bright Meadow Group, "RRP Hydraulic Logging Architecture." Systems Design Notebook, 2025.</w:t>
      </w:r>
    </w:p>
    <w:p>
      <w:pPr>
        <w:spacing w:before="40" w:after="40"/>
        <w:ind w:left="360"/>
      </w:pPr>
      <w:r>
        <w:rPr>
          <w:rFonts w:ascii="Arial" w:cs="Arial" w:eastAsia="Arial" w:hAnsi="Arial"/>
          <w:i/>
          <w:iCs/>
          <w:color w:val="666666"/>
          <w:sz w:val="20"/>
          <w:szCs w:val="20"/>
        </w:rPr>
        <w:t xml:space="preserve">4. Standard Methods for the Examination of Water and Wastewater, 23rd ed. (Washington: APHA/AWWA/WEF, 2017).</w:t>
      </w:r>
    </w:p>
    <w:p>
      <w:pPr>
        <w:spacing w:before="40" w:after="40"/>
        <w:ind w:left="360"/>
      </w:pPr>
      <w:r>
        <w:rPr>
          <w:rFonts w:ascii="Arial" w:cs="Arial" w:eastAsia="Arial" w:hAnsi="Arial"/>
          <w:i/>
          <w:iCs/>
          <w:color w:val="666666"/>
          <w:sz w:val="20"/>
          <w:szCs w:val="20"/>
        </w:rPr>
        <w:t xml:space="preserve">5. Bright Meadow Group, "Biological Productivity Tracking Manual." BMG Greenhouse Ops, 2025.</w:t>
      </w:r>
    </w:p>
    <w:p>
      <w:pPr>
        <w:spacing w:before="40" w:after="40"/>
        <w:ind w:left="360"/>
      </w:pPr>
      <w:r>
        <w:rPr>
          <w:rFonts w:ascii="Arial" w:cs="Arial" w:eastAsia="Arial" w:hAnsi="Arial"/>
          <w:i/>
          <w:iCs/>
          <w:color w:val="666666"/>
          <w:sz w:val="20"/>
          <w:szCs w:val="20"/>
        </w:rPr>
        <w:t xml:space="preserve">6. Bright Meadow Group, "HTC/HTL Reactor Data Requirements." Process Engineering Guide, 2025.</w:t>
      </w:r>
    </w:p>
    <w:p>
      <w:pPr>
        <w:spacing w:before="40" w:after="40"/>
        <w:ind w:left="360"/>
      </w:pPr>
      <w:r>
        <w:rPr>
          <w:rFonts w:ascii="Arial" w:cs="Arial" w:eastAsia="Arial" w:hAnsi="Arial"/>
          <w:i/>
          <w:iCs/>
          <w:color w:val="666666"/>
          <w:sz w:val="20"/>
          <w:szCs w:val="20"/>
        </w:rPr>
        <w:t xml:space="preserve">7. State Department of Environmental Protection Discharge Monitoring Report standards, applicable jurisdiction.</w:t>
      </w:r>
    </w:p>
    <w:p>
      <w:pPr>
        <w:spacing w:before="40" w:after="40"/>
        <w:ind w:left="360"/>
      </w:pPr>
      <w:r>
        <w:rPr>
          <w:rFonts w:ascii="Arial" w:cs="Arial" w:eastAsia="Arial" w:hAnsi="Arial"/>
          <w:i/>
          <w:iCs/>
          <w:color w:val="666666"/>
          <w:sz w:val="20"/>
          <w:szCs w:val="20"/>
        </w:rPr>
        <w:t xml:space="preserve">8. Bright Meadow Group, "RRP6 — Economic &amp; Deployment Model," Version 2.0. Section 5, Modular Slot Framework.</w:t>
      </w:r>
    </w:p>
    <w:p>
      <w:pPr>
        <w:spacing w:before="40" w:after="40"/>
        <w:ind w:left="360"/>
      </w:pPr>
      <w:r>
        <w:rPr>
          <w:rFonts w:ascii="Arial" w:cs="Arial" w:eastAsia="Arial" w:hAnsi="Arial"/>
          <w:i/>
          <w:iCs/>
          <w:color w:val="666666"/>
          <w:sz w:val="20"/>
          <w:szCs w:val="20"/>
        </w:rPr>
        <w:t xml:space="preserve">9. Bright Meadow Group, "RRP Interagency Reporting Framework." BMG Technical Outreach, 2025.</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RRP9  |  RRP0002.10</w:t>
            </w:r>
          </w:p>
          <w:p>
            <w:pPr>
              <w:spacing w:before="0" w:after="0"/>
            </w:pPr>
            <w:r>
              <w:rPr>
                <w:rFonts w:ascii="Arial" w:cs="Arial" w:eastAsia="Arial" w:hAnsi="Arial"/>
                <w:b/>
                <w:bCs/>
                <w:color w:val="FFFFFF"/>
                <w:sz w:val="36"/>
                <w:szCs w:val="36"/>
              </w:rPr>
              <w:t xml:space="preserve">Risk, Failure Modes &amp; Resilience Architecture</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Every infrastructure system has risks. Only resilient infrastructure systems have predictable, contained, non-catastrophic failure outcomes. The RRP was designed to fail safely — to default to a stable, non-hazardous state without operator intervention across hydraulic, biological, mechanical, thermochemical, electrical, and governance failure modes. This document identifies those failure modes and demonstrates the engineered resilience that prevents each from becoming a systemic threat. It is the chapter that tells permitting agencies, investors, and insurers: we already asked the scary questions and designed for the answers.</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1. Core Risk Philosophy: Fail Small, Fail Slow, Fail Safe</w:t>
      </w:r>
    </w:p>
    <w:p>
      <w:pPr>
        <w:spacing w:before="60" w:after="60"/>
      </w:pPr>
      <w:r>
        <w:rPr>
          <w:rFonts w:ascii="Arial" w:cs="Arial" w:eastAsia="Arial" w:hAnsi="Arial"/>
          <w:sz w:val="24"/>
          <w:szCs w:val="24"/>
        </w:rPr>
        <w:t xml:space="preserve">The RRP contains zero failure paths that result in toxic releases, uncontrolled chemical reactions, hazardous air emissions, explosive conditions, wildlife kills, drinking-water contamination, or irreversible system loss. Hydraulic, biological, and thermochemical systems are separated by design so that failure in one domain cannot cascade into another.</w:t>
      </w:r>
    </w:p>
    <w:p>
      <w:pPr>
        <w:spacing w:before="60" w:after="60"/>
      </w:pPr>
      <w:r>
        <w:rPr>
          <w:rFonts w:ascii="Arial" w:cs="Arial" w:eastAsia="Arial" w:hAnsi="Arial"/>
          <w:sz w:val="24"/>
          <w:szCs w:val="24"/>
        </w:rPr>
        <w:t xml:space="preserve">Every critical process has a passive safety state. If pumps fail, flow stops. If power fails, valves shut and the system isolates. If sensors fail, the PLC defaults to containment loops. If reactors fail, they depressurize into quench tanks. The system goes safe without operator intervention.</w:t>
      </w:r>
    </w:p>
    <w:p>
      <w:pPr>
        <w:pStyle w:val="Heading2"/>
        <w:spacing w:before="300" w:after="120"/>
      </w:pPr>
      <w:r>
        <w:rPr>
          <w:rFonts w:ascii="Arial" w:cs="Arial" w:eastAsia="Arial" w:hAnsi="Arial"/>
          <w:b/>
          <w:bCs/>
          <w:color w:val="2E75B6"/>
          <w:sz w:val="28"/>
          <w:szCs w:val="28"/>
        </w:rPr>
        <w:t xml:space="preserve">2. Hydraulic Risks</w:t>
      </w:r>
    </w:p>
    <w:p>
      <w:pPr>
        <w:spacing w:before="60" w:after="60"/>
      </w:pPr>
      <w:r>
        <w:rPr>
          <w:rFonts w:ascii="Arial" w:cs="Arial" w:eastAsia="Arial" w:hAnsi="Arial"/>
          <w:sz w:val="24"/>
          <w:szCs w:val="24"/>
        </w:rPr>
        <w:t xml:space="preserve">Intake blockage is mitigated by triple-layered screens, bypass gates, automatic low-flow alarms, and manual access platforms. Result: reduced inflow, not contaminated outflow. Pump failure is mitigated by redundant pump trains (N+1 or N+2), VFD predictive diagnostics, passive gravity-fed backup, and isolation valves. Cistern overfill during storm surge is mitigated by automatic diversion to overflow wetlands and SCADA-controlled inflow throttling — controlled bypass through naturalized overflow, no discharge of untreated water.</w:t>
      </w:r>
    </w:p>
    <w:p>
      <w:pPr>
        <w:pStyle w:val="Heading2"/>
        <w:spacing w:before="300" w:after="120"/>
      </w:pPr>
      <w:r>
        <w:rPr>
          <w:rFonts w:ascii="Arial" w:cs="Arial" w:eastAsia="Arial" w:hAnsi="Arial"/>
          <w:b/>
          <w:bCs/>
          <w:color w:val="2E75B6"/>
          <w:sz w:val="28"/>
          <w:szCs w:val="28"/>
        </w:rPr>
        <w:t xml:space="preserve">3. Biological Risks</w:t>
      </w:r>
    </w:p>
    <w:p>
      <w:pPr>
        <w:spacing w:before="60" w:after="60"/>
      </w:pPr>
      <w:r>
        <w:rPr>
          <w:rFonts w:ascii="Arial" w:cs="Arial" w:eastAsia="Arial" w:hAnsi="Arial"/>
          <w:sz w:val="24"/>
          <w:szCs w:val="24"/>
        </w:rPr>
        <w:t xml:space="preserve">Crop disease is contained by greenhouse segmentation — each house is a physically isolated subunit with clean-in/clean-out cycles, controlled humidity and airflow, and biochar substrate that reduces pathogen residency. A disease event in one house does not spread to others. Algae culture crashes are mitigated by separate polishing algae houses, CO₂ injection control, automated pH buffering, redundant lighting, and the ability to reseed in under 12 hours.</w:t>
      </w:r>
    </w:p>
    <w:p>
      <w:pPr>
        <w:pStyle w:val="Heading2"/>
        <w:spacing w:before="300" w:after="120"/>
      </w:pPr>
      <w:r>
        <w:rPr>
          <w:rFonts w:ascii="Arial" w:cs="Arial" w:eastAsia="Arial" w:hAnsi="Arial"/>
          <w:b/>
          <w:bCs/>
          <w:color w:val="2E75B6"/>
          <w:sz w:val="28"/>
          <w:szCs w:val="28"/>
        </w:rPr>
        <w:t xml:space="preserve">4. Thermochemical Risks</w:t>
      </w:r>
    </w:p>
    <w:p>
      <w:pPr>
        <w:spacing w:before="60" w:after="60"/>
      </w:pPr>
      <w:r>
        <w:rPr>
          <w:rFonts w:ascii="Arial" w:cs="Arial" w:eastAsia="Arial" w:hAnsi="Arial"/>
          <w:sz w:val="24"/>
          <w:szCs w:val="24"/>
        </w:rPr>
        <w:t xml:space="preserve">HTC/HTL reactors operate at elevated temperature and pressure. Overpressure scenarios are mitigated by ASME-compliant pressure vessel design, automatic pressure relief to quench tanks, redundant temperature monitoring, and staged depressurization protocols. All thermochemical processes are physically separated from greenhouse and biofiltration zones — no failure path connects reactor overpressure to the biological system.</w:t>
      </w:r>
    </w:p>
    <w:p>
      <w:pPr>
        <w:pStyle w:val="Heading2"/>
        <w:spacing w:before="300" w:after="120"/>
      </w:pPr>
      <w:r>
        <w:rPr>
          <w:rFonts w:ascii="Arial" w:cs="Arial" w:eastAsia="Arial" w:hAnsi="Arial"/>
          <w:b/>
          <w:bCs/>
          <w:color w:val="2E75B6"/>
          <w:sz w:val="28"/>
          <w:szCs w:val="28"/>
        </w:rPr>
        <w:t xml:space="preserve">5. Cybersecurity</w:t>
      </w:r>
    </w:p>
    <w:p>
      <w:pPr>
        <w:spacing w:before="60" w:after="60"/>
      </w:pPr>
      <w:r>
        <w:rPr>
          <w:rFonts w:ascii="Arial" w:cs="Arial" w:eastAsia="Arial" w:hAnsi="Arial"/>
          <w:sz w:val="24"/>
          <w:szCs w:val="24"/>
        </w:rPr>
        <w:t xml:space="preserve">SCADA/PLC systems controlling RRP operations present a cybersecurity attack surface that must be explicitly designed for. Industrial control system security follows NIST SP 800-82 guidelines: network segmentation between business and control networks, encrypted communications for all sensor and actuator data, multi-factor authentication for remote access, regular penetration testing, and air-gapping of critical control functions from internet-accessible systems. The open-data commitment applies to environmental output data — not to control system architecture, which remains protected.</w:t>
      </w:r>
    </w:p>
    <w:p>
      <w:pPr>
        <w:pStyle w:val="Heading2"/>
        <w:spacing w:before="300" w:after="120"/>
      </w:pPr>
      <w:r>
        <w:rPr>
          <w:rFonts w:ascii="Arial" w:cs="Arial" w:eastAsia="Arial" w:hAnsi="Arial"/>
          <w:b/>
          <w:bCs/>
          <w:color w:val="2E75B6"/>
          <w:sz w:val="28"/>
          <w:szCs w:val="28"/>
        </w:rPr>
        <w:t xml:space="preserve">6. Financial &amp; Market Risks</w:t>
      </w:r>
    </w:p>
    <w:p>
      <w:pPr>
        <w:spacing w:before="60" w:after="60"/>
      </w:pPr>
      <w:r>
        <w:rPr>
          <w:rFonts w:ascii="Arial" w:cs="Arial" w:eastAsia="Arial" w:hAnsi="Arial"/>
          <w:sz w:val="24"/>
          <w:szCs w:val="24"/>
        </w:rPr>
        <w:t xml:space="preserve">The three-scenario financial model explicitly models market failure conditions in the Stress Test scenario. The primary financial risk is nitrogen credit market inactivity — this single variable accounts for the difference between the operating model floor and profitability. Mitigation: the hub-and-spoke cluster architecture and the biomass revenue stream from Model B nodes provide operating revenue independent of credit markets. The system does not require credit markets to function — it requires them to be profitable at scale.</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Bright Meadow Group, "RRP System Resilience &amp; Safety Notes." CF/BMG Internal, 2025.</w:t>
      </w:r>
    </w:p>
    <w:p>
      <w:pPr>
        <w:spacing w:before="40" w:after="40"/>
        <w:ind w:left="360"/>
      </w:pPr>
      <w:r>
        <w:rPr>
          <w:rFonts w:ascii="Arial" w:cs="Arial" w:eastAsia="Arial" w:hAnsi="Arial"/>
          <w:i/>
          <w:iCs/>
          <w:color w:val="666666"/>
          <w:sz w:val="20"/>
          <w:szCs w:val="20"/>
        </w:rPr>
        <w:t xml:space="preserve">2. Passive Fail-Safe Architecture in Industrial Process Design. Chemical Engineering Manuals, print edition.</w:t>
      </w:r>
    </w:p>
    <w:p>
      <w:pPr>
        <w:spacing w:before="40" w:after="40"/>
        <w:ind w:left="360"/>
      </w:pPr>
      <w:r>
        <w:rPr>
          <w:rFonts w:ascii="Arial" w:cs="Arial" w:eastAsia="Arial" w:hAnsi="Arial"/>
          <w:i/>
          <w:iCs/>
          <w:color w:val="666666"/>
          <w:sz w:val="20"/>
          <w:szCs w:val="20"/>
        </w:rPr>
        <w:t xml:space="preserve">3. USACE, Forebay &amp; Intake Design Manuals. Engineering Manual EM 1110-2-1603.</w:t>
      </w:r>
    </w:p>
    <w:p>
      <w:pPr>
        <w:spacing w:before="40" w:after="40"/>
        <w:ind w:left="360"/>
      </w:pPr>
      <w:r>
        <w:rPr>
          <w:rFonts w:ascii="Arial" w:cs="Arial" w:eastAsia="Arial" w:hAnsi="Arial"/>
          <w:i/>
          <w:iCs/>
          <w:color w:val="666666"/>
          <w:sz w:val="20"/>
          <w:szCs w:val="20"/>
        </w:rPr>
        <w:t xml:space="preserve">4. Bright Meadow Group, "Substrate Biosecurity &amp; Plant Pathogen Control." BMG Greenhouse Ops, 2025.</w:t>
      </w:r>
    </w:p>
    <w:p>
      <w:pPr>
        <w:spacing w:before="40" w:after="40"/>
        <w:ind w:left="360"/>
      </w:pPr>
      <w:r>
        <w:rPr>
          <w:rFonts w:ascii="Arial" w:cs="Arial" w:eastAsia="Arial" w:hAnsi="Arial"/>
          <w:i/>
          <w:iCs/>
          <w:color w:val="666666"/>
          <w:sz w:val="20"/>
          <w:szCs w:val="20"/>
        </w:rPr>
        <w:t xml:space="preserve">5. ASME Boiler and Pressure Vessel Code, Section VIII — Pressure Vessels.</w:t>
      </w:r>
    </w:p>
    <w:p>
      <w:pPr>
        <w:spacing w:before="40" w:after="40"/>
        <w:ind w:left="360"/>
      </w:pPr>
      <w:r>
        <w:rPr>
          <w:rFonts w:ascii="Arial" w:cs="Arial" w:eastAsia="Arial" w:hAnsi="Arial"/>
          <w:i/>
          <w:iCs/>
          <w:color w:val="666666"/>
          <w:sz w:val="20"/>
          <w:szCs w:val="20"/>
        </w:rPr>
        <w:t xml:space="preserve">6. NIST Special Publication 800-82, "Guide to Industrial Control Systems (ICS) Security," Rev. 2.</w:t>
      </w:r>
    </w:p>
    <w:p>
      <w:pPr>
        <w:spacing w:before="40" w:after="40"/>
        <w:ind w:left="360"/>
      </w:pPr>
      <w:r>
        <w:rPr>
          <w:rFonts w:ascii="Arial" w:cs="Arial" w:eastAsia="Arial" w:hAnsi="Arial"/>
          <w:i/>
          <w:iCs/>
          <w:color w:val="666666"/>
          <w:sz w:val="20"/>
          <w:szCs w:val="20"/>
        </w:rPr>
        <w:t xml:space="preserve">7. Bright Meadow Group, "RRP Economic Analysis — Three-Scenario Framework," Version 2.0. CF/BMG, 01 April 2026.</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RRP10  |  RRP0002.11</w:t>
            </w:r>
          </w:p>
          <w:p>
            <w:pPr>
              <w:spacing w:before="0" w:after="0"/>
            </w:pPr>
            <w:r>
              <w:rPr>
                <w:rFonts w:ascii="Arial" w:cs="Arial" w:eastAsia="Arial" w:hAnsi="Arial"/>
                <w:b/>
                <w:bCs/>
                <w:color w:val="FFFFFF"/>
                <w:sz w:val="36"/>
                <w:szCs w:val="36"/>
              </w:rPr>
              <w:t xml:space="preserve">Strategic Deployment Outlook</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The River Refugium Project can function anywhere water carries nutrients. Strategic deployment is not simply a matter of where it can go, but where it should go first — and in what sequence. This document outlines the long-view deployment philosophy: pilot anywhere to prove universal applicability; first full-scale node in the Lower Mississippi corridor where everything converges; national-scale expansion through watershed triage targeting river consolidation points and nutrient peaks; growth driven by data confidence from the pilot rather than projection.</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1. The Pilot: Prove It Anywhere</w:t>
      </w:r>
    </w:p>
    <w:p>
      <w:pPr>
        <w:spacing w:before="60" w:after="60"/>
      </w:pPr>
      <w:r>
        <w:rPr>
          <w:rFonts w:ascii="Arial" w:cs="Arial" w:eastAsia="Arial" w:hAnsi="Arial"/>
          <w:sz w:val="24"/>
          <w:szCs w:val="24"/>
        </w:rPr>
        <w:t xml:space="preserve">The RRP pilot — one full grow unit — is intentionally modular. It can be deployed in an industrial corridor, at a municipal outfall, downstream of agricultural land, at a polluted lake inlet, on tribal lands, or beside a degraded wetland. The only requirement is water with a measurable nutrient load.</w:t>
      </w:r>
    </w:p>
    <w:p>
      <w:pPr>
        <w:spacing w:before="60" w:after="60"/>
      </w:pPr>
      <w:r>
        <w:rPr>
          <w:rFonts w:ascii="Arial" w:cs="Arial" w:eastAsia="Arial" w:hAnsi="Arial"/>
          <w:sz w:val="24"/>
          <w:szCs w:val="24"/>
        </w:rPr>
        <w:t xml:space="preserve">The pilot's primary function is not demonstration. It is data collection. The biological engine is adaptable enough to show biomass yield and nutrient removal in virtually any temperate climate — but the specific numbers it generates, under real operating conditions with real river chemistry, are what convert every provisional financial assumption into a measured value. The pilot sizes the reactor clusters that follow. Without it, all deployment planning is projection. With it, deployment planning becomes engineering.</w:t>
      </w:r>
    </w:p>
    <w:p>
      <w:pPr>
        <w:pStyle w:val="Heading2"/>
        <w:spacing w:before="300" w:after="120"/>
      </w:pPr>
      <w:r>
        <w:rPr>
          <w:rFonts w:ascii="Arial" w:cs="Arial" w:eastAsia="Arial" w:hAnsi="Arial"/>
          <w:b/>
          <w:bCs/>
          <w:color w:val="2E75B6"/>
          <w:sz w:val="28"/>
          <w:szCs w:val="28"/>
        </w:rPr>
        <w:t xml:space="preserve">2. The First Full Node: Lower Mississippi Corridor</w:t>
      </w:r>
    </w:p>
    <w:p>
      <w:pPr>
        <w:spacing w:before="60" w:after="60"/>
      </w:pPr>
      <w:r>
        <w:rPr>
          <w:rFonts w:ascii="Arial" w:cs="Arial" w:eastAsia="Arial" w:hAnsi="Arial"/>
          <w:sz w:val="24"/>
          <w:szCs w:val="24"/>
        </w:rPr>
        <w:t xml:space="preserve">The stretch of the Mississippi River between Memphis and New Orleans — particularly the Arkansas-Mississippi borderlands — is the single most favorable location in North America for the first 100-acre reference node. The case rests on six converging factors:</w:t>
      </w:r>
    </w:p>
    <w:p>
      <w:pPr>
        <w:pStyle w:val="ListParagraph"/>
        <w:numPr>
          <w:ilvl w:val="0"/>
          <w:numId w:val="2"/>
        </w:numPr>
        <w:spacing w:before="40" w:after="40"/>
      </w:pPr>
      <w:r>
        <w:rPr>
          <w:rFonts w:ascii="Arial" w:cs="Arial" w:eastAsia="Arial" w:hAnsi="Arial"/>
          <w:sz w:val="24"/>
          <w:szCs w:val="24"/>
        </w:rPr>
        <w:t xml:space="preserve">Peak nutrient density. By the time the Mississippi reaches this corridor, the entire corn and soy belt, the Ohio, Missouri, Arkansas, and Illinois Rivers, and dozens of agricultural tributaries have deposited their full nutrient load into one consolidated artery.</w:t>
      </w:r>
    </w:p>
    <w:p>
      <w:pPr>
        <w:pStyle w:val="ListParagraph"/>
        <w:numPr>
          <w:ilvl w:val="0"/>
          <w:numId w:val="2"/>
        </w:numPr>
        <w:spacing w:before="40" w:after="40"/>
      </w:pPr>
      <w:r>
        <w:rPr>
          <w:rFonts w:ascii="Arial" w:cs="Arial" w:eastAsia="Arial" w:hAnsi="Arial"/>
          <w:sz w:val="24"/>
          <w:szCs w:val="24"/>
        </w:rPr>
        <w:t xml:space="preserve">Cheap land. Eastern Arkansas and western Mississippi offer low-cost rural parcels, wide tracts suitable for 100-acre industrial footprints, flexible zoning, and proximity to major transport routes.</w:t>
      </w:r>
    </w:p>
    <w:p>
      <w:pPr>
        <w:pStyle w:val="ListParagraph"/>
        <w:numPr>
          <w:ilvl w:val="0"/>
          <w:numId w:val="2"/>
        </w:numPr>
        <w:spacing w:before="40" w:after="40"/>
      </w:pPr>
      <w:r>
        <w:rPr>
          <w:rFonts w:ascii="Arial" w:cs="Arial" w:eastAsia="Arial" w:hAnsi="Arial"/>
          <w:sz w:val="24"/>
          <w:szCs w:val="24"/>
        </w:rPr>
        <w:t xml:space="preserve">Labor availability. These regions have underutilized agricultural workforces, rural development incentives, and strong community interest in new industrial employment.</w:t>
      </w:r>
    </w:p>
    <w:p>
      <w:pPr>
        <w:pStyle w:val="ListParagraph"/>
        <w:numPr>
          <w:ilvl w:val="0"/>
          <w:numId w:val="2"/>
        </w:numPr>
        <w:spacing w:before="40" w:after="40"/>
      </w:pPr>
      <w:r>
        <w:rPr>
          <w:rFonts w:ascii="Arial" w:cs="Arial" w:eastAsia="Arial" w:hAnsi="Arial"/>
          <w:sz w:val="24"/>
          <w:szCs w:val="24"/>
        </w:rPr>
        <w:t xml:space="preserve">Climate advantage. Year-round warm climate extends the algae growing season, increases biomass turnover, reduces greenhouse heating costs, and improves thermochemical energy balance.</w:t>
      </w:r>
    </w:p>
    <w:p>
      <w:pPr>
        <w:pStyle w:val="ListParagraph"/>
        <w:numPr>
          <w:ilvl w:val="0"/>
          <w:numId w:val="2"/>
        </w:numPr>
        <w:spacing w:before="40" w:after="40"/>
      </w:pPr>
      <w:r>
        <w:rPr>
          <w:rFonts w:ascii="Arial" w:cs="Arial" w:eastAsia="Arial" w:hAnsi="Arial"/>
          <w:sz w:val="24"/>
          <w:szCs w:val="24"/>
        </w:rPr>
        <w:t xml:space="preserve">Political and tribal opportunity. The corridor touches tribal jurisdictions, counties needing development, states needing watershed wins, and federal agencies watching the Gulf Hypoxia Zone.</w:t>
      </w:r>
    </w:p>
    <w:p>
      <w:pPr>
        <w:pStyle w:val="ListParagraph"/>
        <w:numPr>
          <w:ilvl w:val="0"/>
          <w:numId w:val="2"/>
        </w:numPr>
        <w:spacing w:before="40" w:after="40"/>
      </w:pPr>
      <w:r>
        <w:rPr>
          <w:rFonts w:ascii="Arial" w:cs="Arial" w:eastAsia="Arial" w:hAnsi="Arial"/>
          <w:sz w:val="24"/>
          <w:szCs w:val="24"/>
        </w:rPr>
        <w:t xml:space="preserve">Guaranteed biological success. Maximum nutrient saturation plus warm temperatures plus abundant flowing water equals the highest-probability first deployment site in the country.</w:t>
      </w:r>
    </w:p>
    <w:p>
      <w:pPr>
        <w:pStyle w:val="Heading2"/>
        <w:spacing w:before="300" w:after="120"/>
      </w:pPr>
      <w:r>
        <w:rPr>
          <w:rFonts w:ascii="Arial" w:cs="Arial" w:eastAsia="Arial" w:hAnsi="Arial"/>
          <w:b/>
          <w:bCs/>
          <w:color w:val="2E75B6"/>
          <w:sz w:val="28"/>
          <w:szCs w:val="28"/>
        </w:rPr>
        <w:t xml:space="preserve">3. Scaling Strategy: Follow the Pollution</w:t>
      </w:r>
    </w:p>
    <w:p>
      <w:pPr>
        <w:spacing w:before="60" w:after="60"/>
      </w:pPr>
      <w:r>
        <w:rPr>
          <w:rFonts w:ascii="Arial" w:cs="Arial" w:eastAsia="Arial" w:hAnsi="Arial"/>
          <w:sz w:val="24"/>
          <w:szCs w:val="24"/>
        </w:rPr>
        <w:t xml:space="preserve">Once the Mississippi corridor node demonstrates plant-level performance and data-driven returns, expansion follows a simple logic: build where rivers converge. Upstream convergence points — St. Louis, Cairo, Louisville, Cincinnati, Kansas City, Des Moines — create pollution multipliers where multiple nutrient streams combine. Cluster architecture governs regional expansion. When a watershed approaches nutrient saturation — typically 2–4 nodes for a 100,000-acre mixed agricultural basin — the expansion logic moves to the next watershed rather than stacking more nodes into a depleted one.</w:t>
      </w:r>
    </w:p>
    <w:p>
      <w:pPr>
        <w:pStyle w:val="Heading2"/>
        <w:spacing w:before="300" w:after="120"/>
      </w:pPr>
      <w:r>
        <w:rPr>
          <w:rFonts w:ascii="Arial" w:cs="Arial" w:eastAsia="Arial" w:hAnsi="Arial"/>
          <w:b/>
          <w:bCs/>
          <w:color w:val="2E75B6"/>
          <w:sz w:val="28"/>
          <w:szCs w:val="28"/>
        </w:rPr>
        <w:t xml:space="preserve">4. Data Confidence Governs Pace</w:t>
      </w:r>
    </w:p>
    <w:p>
      <w:pPr>
        <w:spacing w:before="60" w:after="60"/>
      </w:pPr>
      <w:r>
        <w:rPr>
          <w:rFonts w:ascii="Arial" w:cs="Arial" w:eastAsia="Arial" w:hAnsi="Arial"/>
          <w:sz w:val="24"/>
          <w:szCs w:val="24"/>
        </w:rPr>
        <w:t xml:space="preserve">Deployment pace is governed by data confidence, not capital availability or political momentum. The pilot generates data. Data confirms or revises the financial model. Confirmed model parameters justify the first full node. First node performance justifies regional cluster investment. Each stage unlocks the next through evidence, not projection. This is the correct pace for a system that has no direct precedent. It is also the most defensible pace for any funding partner, agency, or tribal government being asked to commit capital to a novel infrastructure category.</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Bright Meadow Group, "RRP Biological Pilot Framework." CF/BMG Internal, 2025.</w:t>
      </w:r>
    </w:p>
    <w:p>
      <w:pPr>
        <w:spacing w:before="40" w:after="40"/>
        <w:ind w:left="360"/>
      </w:pPr>
      <w:r>
        <w:rPr>
          <w:rFonts w:ascii="Arial" w:cs="Arial" w:eastAsia="Arial" w:hAnsi="Arial"/>
          <w:i/>
          <w:iCs/>
          <w:color w:val="666666"/>
          <w:sz w:val="20"/>
          <w:szCs w:val="20"/>
        </w:rPr>
        <w:t xml:space="preserve">2. Bright Meadow Group, "RRP6 — Economic &amp; Deployment Model," Version 2.0. Section 2.1, The Pilot as Data Engine.</w:t>
      </w:r>
    </w:p>
    <w:p>
      <w:pPr>
        <w:spacing w:before="40" w:after="40"/>
        <w:ind w:left="360"/>
      </w:pPr>
      <w:r>
        <w:rPr>
          <w:rFonts w:ascii="Arial" w:cs="Arial" w:eastAsia="Arial" w:hAnsi="Arial"/>
          <w:i/>
          <w:iCs/>
          <w:color w:val="666666"/>
          <w:sz w:val="20"/>
          <w:szCs w:val="20"/>
        </w:rPr>
        <w:t xml:space="preserve">3. Bright Meadow Group, "RRPc — Initial Five Recommended Sites," Version 2.0. Site A: Helena-West Helena/Lula, Score 118/150.</w:t>
      </w:r>
    </w:p>
    <w:p>
      <w:pPr>
        <w:spacing w:before="40" w:after="40"/>
        <w:ind w:left="360"/>
      </w:pPr>
      <w:r>
        <w:rPr>
          <w:rFonts w:ascii="Arial" w:cs="Arial" w:eastAsia="Arial" w:hAnsi="Arial"/>
          <w:i/>
          <w:iCs/>
          <w:color w:val="666666"/>
          <w:sz w:val="20"/>
          <w:szCs w:val="20"/>
        </w:rPr>
        <w:t xml:space="preserve">4. Rural Land &amp; Industrial Zoning Surveys, Arkansas/Mississippi Corridor. State planning office print editions.</w:t>
      </w:r>
    </w:p>
    <w:p>
      <w:pPr>
        <w:spacing w:before="40" w:after="40"/>
        <w:ind w:left="360"/>
      </w:pPr>
      <w:r>
        <w:rPr>
          <w:rFonts w:ascii="Arial" w:cs="Arial" w:eastAsia="Arial" w:hAnsi="Arial"/>
          <w:i/>
          <w:iCs/>
          <w:color w:val="666666"/>
          <w:sz w:val="20"/>
          <w:szCs w:val="20"/>
        </w:rPr>
        <w:t xml:space="preserve">5. USDA NRCS, Climate Advantage &amp; Biomass Turnover Reports, Southern Region.</w:t>
      </w:r>
    </w:p>
    <w:p>
      <w:pPr>
        <w:spacing w:before="40" w:after="40"/>
        <w:ind w:left="360"/>
      </w:pPr>
      <w:r>
        <w:rPr>
          <w:rFonts w:ascii="Arial" w:cs="Arial" w:eastAsia="Arial" w:hAnsi="Arial"/>
          <w:i/>
          <w:iCs/>
          <w:color w:val="666666"/>
          <w:sz w:val="20"/>
          <w:szCs w:val="20"/>
        </w:rPr>
        <w:t xml:space="preserve">6. USGS, SPARROW Model — Nutrient Load Estimates for Mississippi Basin.</w:t>
      </w:r>
    </w:p>
    <w:p>
      <w:pPr>
        <w:spacing w:before="40" w:after="40"/>
        <w:ind w:left="360"/>
      </w:pPr>
      <w:r>
        <w:rPr>
          <w:rFonts w:ascii="Arial" w:cs="Arial" w:eastAsia="Arial" w:hAnsi="Arial"/>
          <w:i/>
          <w:iCs/>
          <w:color w:val="666666"/>
          <w:sz w:val="20"/>
          <w:szCs w:val="20"/>
        </w:rPr>
        <w:t xml:space="preserve">7. Bright Meadow Group, "RRP6 — Economic &amp; Deployment Model," Version 2.0. Section 2.3, Watershed Deployment Arc.</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RRP11  |  RRP0002.12</w:t>
            </w:r>
          </w:p>
          <w:p>
            <w:pPr>
              <w:spacing w:before="0" w:after="0"/>
            </w:pPr>
            <w:r>
              <w:rPr>
                <w:rFonts w:ascii="Arial" w:cs="Arial" w:eastAsia="Arial" w:hAnsi="Arial"/>
                <w:b/>
                <w:bCs/>
                <w:color w:val="FFFFFF"/>
                <w:sz w:val="36"/>
                <w:szCs w:val="36"/>
              </w:rPr>
              <w:t xml:space="preserve">National Narrative &amp; Messaging Strategy</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The River Refugium Project is not just an engineering system. It is a national story at the intersection of environmental recovery, rural revitalization, industrial innovation, tribal sovereignty, and new-economy energy systems. This document provides the strategic messaging architecture for policymakers, funding bodies, environmental organizations, rural communities, tribal nations, media outlets, academic institutions, private investors, and the general public.</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1. The Core Narrative</w:t>
      </w:r>
    </w:p>
    <w:p>
      <w:pPr>
        <w:spacing w:before="120" w:after="120"/>
        <w:jc w:val="center"/>
      </w:pPr>
      <w:r>
        <w:rPr>
          <w:rFonts w:ascii="Arial" w:cs="Arial" w:eastAsia="Arial" w:hAnsi="Arial"/>
          <w:b/>
          <w:bCs/>
          <w:i/>
          <w:iCs/>
          <w:color w:val="1F4E79"/>
          <w:sz w:val="26"/>
          <w:szCs w:val="26"/>
        </w:rPr>
        <w:t xml:space="preserve">"We turn polluted river water into clean water, useful biomass, and local jobs — and we show every receipt."</w:t>
      </w:r>
    </w:p>
    <w:p>
      <w:pPr>
        <w:spacing w:before="60" w:after="60"/>
      </w:pPr>
      <w:r>
        <w:rPr>
          <w:rFonts w:ascii="Arial" w:cs="Arial" w:eastAsia="Arial" w:hAnsi="Arial"/>
          <w:sz w:val="24"/>
          <w:szCs w:val="24"/>
        </w:rPr>
        <w:t xml:space="preserve">This sentence contains the environmental benefit (clean water), the economic benefit (biomass and jobs), the transparency (open data), and the accountability (receipts). Every message in this document builds around that anchor.</w:t>
      </w:r>
    </w:p>
    <w:p>
      <w:pPr>
        <w:spacing w:before="60" w:after="60"/>
      </w:pPr>
      <w:r>
        <w:rPr>
          <w:rFonts w:ascii="Arial" w:cs="Arial" w:eastAsia="Arial" w:hAnsi="Arial"/>
          <w:sz w:val="24"/>
          <w:szCs w:val="24"/>
        </w:rPr>
        <w:t xml:space="preserve">The pilot-as-data-engine thesis extends the transparency commitment: we do not model what we have not measured. The pilot generates the receipts. The receipts replace the projections. Stakeholders at every level — from county commissioner to Senate committee staff to ESG fund manager — receive the same open dataset. No stakeholder gets a better number than any other. This is the foundation of institutional trust at scale.</w:t>
      </w:r>
    </w:p>
    <w:p>
      <w:pPr>
        <w:pStyle w:val="Heading2"/>
        <w:spacing w:before="300" w:after="120"/>
      </w:pPr>
      <w:r>
        <w:rPr>
          <w:rFonts w:ascii="Arial" w:cs="Arial" w:eastAsia="Arial" w:hAnsi="Arial"/>
          <w:b/>
          <w:bCs/>
          <w:color w:val="2E75B6"/>
          <w:sz w:val="28"/>
          <w:szCs w:val="28"/>
        </w:rPr>
        <w:t xml:space="preserve">2. The Five-Pillar Messaging Framework</w:t>
      </w:r>
    </w:p>
    <w:p>
      <w:pPr>
        <w:pStyle w:val="Heading3"/>
        <w:spacing w:before="200" w:after="80"/>
      </w:pPr>
      <w:r>
        <w:rPr>
          <w:rFonts w:ascii="Arial" w:cs="Arial" w:eastAsia="Arial" w:hAnsi="Arial"/>
          <w:b/>
          <w:bCs/>
          <w:color w:val="404040"/>
          <w:sz w:val="26"/>
          <w:szCs w:val="26"/>
        </w:rPr>
        <w:t xml:space="preserve">Pillar 1 — Clean Water, Measurable Impact</w:t>
      </w:r>
    </w:p>
    <w:p>
      <w:pPr>
        <w:spacing w:before="60" w:after="60"/>
      </w:pPr>
      <w:r>
        <w:rPr>
          <w:rFonts w:ascii="Arial" w:cs="Arial" w:eastAsia="Arial" w:hAnsi="Arial"/>
          <w:sz w:val="24"/>
          <w:szCs w:val="24"/>
        </w:rPr>
        <w:t xml:space="preserve">The RRP removes nutrients, organics, and turbidity from rivers in a controlled, proven, measurable way. Nutrient removal is backed by continuous open data, transparent water-quality logs, and restorative impact visible within months. Supports fisheries, wetlands, and wildlife. Reduces downstream environmental damage including the Gulf Hypoxia Zone. Who cares most: regulators, environmental groups, universities, coastal states, tribes, federal agencies.</w:t>
      </w:r>
    </w:p>
    <w:p>
      <w:pPr>
        <w:pStyle w:val="Heading3"/>
        <w:spacing w:before="200" w:after="80"/>
      </w:pPr>
      <w:r>
        <w:rPr>
          <w:rFonts w:ascii="Arial" w:cs="Arial" w:eastAsia="Arial" w:hAnsi="Arial"/>
          <w:b/>
          <w:bCs/>
          <w:color w:val="404040"/>
          <w:sz w:val="26"/>
          <w:szCs w:val="26"/>
        </w:rPr>
        <w:t xml:space="preserve">Pillar 2 — Rural Jobs and Local Industry</w:t>
      </w:r>
    </w:p>
    <w:p>
      <w:pPr>
        <w:spacing w:before="60" w:after="60"/>
      </w:pPr>
      <w:r>
        <w:rPr>
          <w:rFonts w:ascii="Arial" w:cs="Arial" w:eastAsia="Arial" w:hAnsi="Arial"/>
          <w:sz w:val="24"/>
          <w:szCs w:val="24"/>
        </w:rPr>
        <w:t xml:space="preserve">The RRP creates good-paying rural jobs without displacing any existing industry. Greenhouse operations, mechanical maintenance, logistics and processing, quality control, data monitoring, thermochemical conversion, and local biochar and biomass product lines create employment in communities that need it. Who cares most: county officials, state development offices, rural communities, workforce boards.</w:t>
      </w:r>
    </w:p>
    <w:p>
      <w:pPr>
        <w:pStyle w:val="Heading3"/>
        <w:spacing w:before="200" w:after="80"/>
      </w:pPr>
      <w:r>
        <w:rPr>
          <w:rFonts w:ascii="Arial" w:cs="Arial" w:eastAsia="Arial" w:hAnsi="Arial"/>
          <w:b/>
          <w:bCs/>
          <w:color w:val="404040"/>
          <w:sz w:val="26"/>
          <w:szCs w:val="26"/>
        </w:rPr>
        <w:t xml:space="preserve">Pillar 3 — Open Data, Open Science</w:t>
      </w:r>
    </w:p>
    <w:p>
      <w:pPr>
        <w:spacing w:before="60" w:after="60"/>
      </w:pPr>
      <w:r>
        <w:rPr>
          <w:rFonts w:ascii="Arial" w:cs="Arial" w:eastAsia="Arial" w:hAnsi="Arial"/>
          <w:sz w:val="24"/>
          <w:szCs w:val="24"/>
        </w:rPr>
        <w:t xml:space="preserve">Nothing is hidden. Every sensor and every reading is open to the public. Open-source engineering, open-access data portals, and academic integration from K–12 through doctoral programs make the RRP a living laboratory for the next generation of environmental scientists. Who cares most: universities, activists, skeptics, journalists, oversight bodies.</w:t>
      </w:r>
    </w:p>
    <w:p>
      <w:pPr>
        <w:pStyle w:val="Heading3"/>
        <w:spacing w:before="200" w:after="80"/>
      </w:pPr>
      <w:r>
        <w:rPr>
          <w:rFonts w:ascii="Arial" w:cs="Arial" w:eastAsia="Arial" w:hAnsi="Arial"/>
          <w:b/>
          <w:bCs/>
          <w:color w:val="404040"/>
          <w:sz w:val="26"/>
          <w:szCs w:val="26"/>
        </w:rPr>
        <w:t xml:space="preserve">Pillar 4 — Energy, Carbon &amp; Circular Economy</w:t>
      </w:r>
    </w:p>
    <w:p>
      <w:pPr>
        <w:spacing w:before="60" w:after="60"/>
      </w:pPr>
      <w:r>
        <w:rPr>
          <w:rFonts w:ascii="Arial" w:cs="Arial" w:eastAsia="Arial" w:hAnsi="Arial"/>
          <w:sz w:val="24"/>
          <w:szCs w:val="24"/>
        </w:rPr>
        <w:t xml:space="preserve">The RRP turns extracted pollution into fuels, carbon-storing materials, and industrial inputs. Hydrochar as a carbon-sequestration asset. Bio-oil for industrial feedstock. CO₂ loops for greenhouse enhancement. Carbon credit eligibility across multiple frameworks. Who cares most: industry, ESG investors, utilities, carbon-market regulators.</w:t>
      </w:r>
    </w:p>
    <w:p>
      <w:pPr>
        <w:pStyle w:val="Heading3"/>
        <w:spacing w:before="200" w:after="80"/>
      </w:pPr>
      <w:r>
        <w:rPr>
          <w:rFonts w:ascii="Arial" w:cs="Arial" w:eastAsia="Arial" w:hAnsi="Arial"/>
          <w:b/>
          <w:bCs/>
          <w:color w:val="404040"/>
          <w:sz w:val="26"/>
          <w:szCs w:val="26"/>
        </w:rPr>
        <w:t xml:space="preserve">Pillar 5 — National Scalability &amp; Watershed Sovereignty</w:t>
      </w:r>
    </w:p>
    <w:p>
      <w:pPr>
        <w:spacing w:before="60" w:after="60"/>
      </w:pPr>
      <w:r>
        <w:rPr>
          <w:rFonts w:ascii="Arial" w:cs="Arial" w:eastAsia="Arial" w:hAnsi="Arial"/>
          <w:sz w:val="24"/>
          <w:szCs w:val="24"/>
        </w:rPr>
        <w:t xml:space="preserve">The RRP is designed to be built anywhere and adapted locally. Modular design fits upstream, midstream, and downstream deployment. Compatible with tribal sovereignty goals. Deployable nationwide in any watershed. Who cares most: tribal governments, state legislatures, economic coalitions, federal infrastructure planners.</w:t>
      </w:r>
    </w:p>
    <w:p>
      <w:pPr>
        <w:pStyle w:val="Heading2"/>
        <w:spacing w:before="300" w:after="120"/>
      </w:pPr>
      <w:r>
        <w:rPr>
          <w:rFonts w:ascii="Arial" w:cs="Arial" w:eastAsia="Arial" w:hAnsi="Arial"/>
          <w:b/>
          <w:bCs/>
          <w:color w:val="2E75B6"/>
          <w:sz w:val="28"/>
          <w:szCs w:val="28"/>
        </w:rPr>
        <w:t xml:space="preserve">3. Legislative Hooks</w:t>
      </w:r>
    </w:p>
    <w:p>
      <w:pPr>
        <w:pStyle w:val="ListParagraph"/>
        <w:numPr>
          <w:ilvl w:val="0"/>
          <w:numId w:val="2"/>
        </w:numPr>
        <w:spacing w:before="40" w:after="40"/>
      </w:pPr>
      <w:r>
        <w:rPr>
          <w:rFonts w:ascii="Arial" w:cs="Arial" w:eastAsia="Arial" w:hAnsi="Arial"/>
          <w:sz w:val="24"/>
          <w:szCs w:val="24"/>
        </w:rPr>
        <w:t xml:space="preserve">Farm Bill — Conservation title programs including EQIP and RCPP fund watershed-scale nutrient reduction infrastructure. RRP nodes qualify as conservation practice infrastructure.</w:t>
      </w:r>
    </w:p>
    <w:p>
      <w:pPr>
        <w:pStyle w:val="ListParagraph"/>
        <w:numPr>
          <w:ilvl w:val="0"/>
          <w:numId w:val="2"/>
        </w:numPr>
        <w:spacing w:before="40" w:after="40"/>
      </w:pPr>
      <w:r>
        <w:rPr>
          <w:rFonts w:ascii="Arial" w:cs="Arial" w:eastAsia="Arial" w:hAnsi="Arial"/>
          <w:sz w:val="24"/>
          <w:szCs w:val="24"/>
        </w:rPr>
        <w:t xml:space="preserve">Inflation Reduction Act — Bioenergy and clean energy provisions fund hydrothermal processing infrastructure. Section 22004 covers biofuel and biomass production incentives.</w:t>
      </w:r>
    </w:p>
    <w:p>
      <w:pPr>
        <w:pStyle w:val="ListParagraph"/>
        <w:numPr>
          <w:ilvl w:val="0"/>
          <w:numId w:val="2"/>
        </w:numPr>
        <w:spacing w:before="40" w:after="40"/>
      </w:pPr>
      <w:r>
        <w:rPr>
          <w:rFonts w:ascii="Arial" w:cs="Arial" w:eastAsia="Arial" w:hAnsi="Arial"/>
          <w:sz w:val="24"/>
          <w:szCs w:val="24"/>
        </w:rPr>
        <w:t xml:space="preserve">Water Resources Development Act (WRDA) — Army Corps of Engineers nutrient reduction and aquatic ecosystem restoration authorities.</w:t>
      </w:r>
    </w:p>
    <w:p>
      <w:pPr>
        <w:pStyle w:val="ListParagraph"/>
        <w:numPr>
          <w:ilvl w:val="0"/>
          <w:numId w:val="2"/>
        </w:numPr>
        <w:spacing w:before="40" w:after="40"/>
      </w:pPr>
      <w:r>
        <w:rPr>
          <w:rFonts w:ascii="Arial" w:cs="Arial" w:eastAsia="Arial" w:hAnsi="Arial"/>
          <w:sz w:val="24"/>
          <w:szCs w:val="24"/>
        </w:rPr>
        <w:t xml:space="preserve">EPA 319(h) Nonpoint Source Program — Direct grant funding for nutrient reduction in impaired watersheds. RRP's open-data receipts are ideal documentation for 319(h) performance reporting.</w:t>
      </w:r>
    </w:p>
    <w:p>
      <w:pPr>
        <w:pStyle w:val="ListParagraph"/>
        <w:numPr>
          <w:ilvl w:val="0"/>
          <w:numId w:val="2"/>
        </w:numPr>
        <w:spacing w:before="40" w:after="40"/>
      </w:pPr>
      <w:r>
        <w:rPr>
          <w:rFonts w:ascii="Arial" w:cs="Arial" w:eastAsia="Arial" w:hAnsi="Arial"/>
          <w:sz w:val="24"/>
          <w:szCs w:val="24"/>
        </w:rPr>
        <w:t xml:space="preserve">USDA Rural Development — Business &amp; Industry loan program, ReConnect, and community facilities programs all have mechanisms applicable to RRP node financing.</w:t>
      </w:r>
    </w:p>
    <w:p>
      <w:pPr>
        <w:pStyle w:val="Heading2"/>
        <w:spacing w:before="300" w:after="120"/>
      </w:pPr>
      <w:r>
        <w:rPr>
          <w:rFonts w:ascii="Arial" w:cs="Arial" w:eastAsia="Arial" w:hAnsi="Arial"/>
          <w:b/>
          <w:bCs/>
          <w:color w:val="2E75B6"/>
          <w:sz w:val="28"/>
          <w:szCs w:val="28"/>
        </w:rPr>
        <w:t xml:space="preserve">4. The Honest Data Story</w:t>
      </w:r>
    </w:p>
    <w:p>
      <w:pPr>
        <w:spacing w:before="60" w:after="60"/>
      </w:pPr>
      <w:r>
        <w:rPr>
          <w:rFonts w:ascii="Arial" w:cs="Arial" w:eastAsia="Arial" w:hAnsi="Arial"/>
          <w:sz w:val="24"/>
          <w:szCs w:val="24"/>
        </w:rPr>
        <w:t xml:space="preserve">The most powerful long-term message the RRP can deliver is the one that requires no spin: the system produces verifiable environmental results and those results are publicly available in real time. No other remediation approach of this scale makes that commitment.</w:t>
      </w:r>
    </w:p>
    <w:p>
      <w:pPr>
        <w:spacing w:before="60" w:after="60"/>
      </w:pPr>
      <w:r>
        <w:rPr>
          <w:rFonts w:ascii="Arial" w:cs="Arial" w:eastAsia="Arial" w:hAnsi="Arial"/>
          <w:sz w:val="24"/>
          <w:szCs w:val="24"/>
        </w:rPr>
        <w:t xml:space="preserve">The pilot-as-data-engine framing makes this even stronger: we are building the instrument that will generate the evidence, and we are doing it openly. Skeptics who want to challenge the projections are invited to wait for the data. Supporters who want to advance the timeline are invited to fund the measurement.</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Bright Meadow Group, "National Messaging &amp; Infrastructure Communication Strategy Notes." CF/BMG Internal, 2025.</w:t>
      </w:r>
    </w:p>
    <w:p>
      <w:pPr>
        <w:spacing w:before="40" w:after="40"/>
        <w:ind w:left="360"/>
      </w:pPr>
      <w:r>
        <w:rPr>
          <w:rFonts w:ascii="Arial" w:cs="Arial" w:eastAsia="Arial" w:hAnsi="Arial"/>
          <w:i/>
          <w:iCs/>
          <w:color w:val="666666"/>
          <w:sz w:val="20"/>
          <w:szCs w:val="20"/>
        </w:rPr>
        <w:t xml:space="preserve">2. U.S. EPA, Gulf Hypoxia Action Plan; NOAA Gulf of Mexico Dead Zone Assessment.</w:t>
      </w:r>
    </w:p>
    <w:p>
      <w:pPr>
        <w:spacing w:before="40" w:after="40"/>
        <w:ind w:left="360"/>
      </w:pPr>
      <w:r>
        <w:rPr>
          <w:rFonts w:ascii="Arial" w:cs="Arial" w:eastAsia="Arial" w:hAnsi="Arial"/>
          <w:i/>
          <w:iCs/>
          <w:color w:val="666666"/>
          <w:sz w:val="20"/>
          <w:szCs w:val="20"/>
        </w:rPr>
        <w:t xml:space="preserve">3. Rural Workforce &amp; Bioenergy Workforce Development Reports, Land-Grant University Consortium.</w:t>
      </w:r>
    </w:p>
    <w:p>
      <w:pPr>
        <w:spacing w:before="40" w:after="40"/>
        <w:ind w:left="360"/>
      </w:pPr>
      <w:r>
        <w:rPr>
          <w:rFonts w:ascii="Arial" w:cs="Arial" w:eastAsia="Arial" w:hAnsi="Arial"/>
          <w:i/>
          <w:iCs/>
          <w:color w:val="666666"/>
          <w:sz w:val="20"/>
          <w:szCs w:val="20"/>
        </w:rPr>
        <w:t xml:space="preserve">4. Bright Meadow Group, "RRP8 — Verification, Monitoring &amp; Performance Certification," Version 2.0.</w:t>
      </w:r>
    </w:p>
    <w:p>
      <w:pPr>
        <w:spacing w:before="40" w:after="40"/>
        <w:ind w:left="360"/>
      </w:pPr>
      <w:r>
        <w:rPr>
          <w:rFonts w:ascii="Arial" w:cs="Arial" w:eastAsia="Arial" w:hAnsi="Arial"/>
          <w:i/>
          <w:iCs/>
          <w:color w:val="666666"/>
          <w:sz w:val="20"/>
          <w:szCs w:val="20"/>
        </w:rPr>
        <w:t xml:space="preserve">5. Bright Meadow Group, "RRP Economic Analysis — Three-Scenario Framework," Version 2.0. Revenue Layer 4.</w:t>
      </w:r>
    </w:p>
    <w:p>
      <w:pPr>
        <w:spacing w:before="40" w:after="40"/>
        <w:ind w:left="360"/>
      </w:pPr>
      <w:r>
        <w:rPr>
          <w:rFonts w:ascii="Arial" w:cs="Arial" w:eastAsia="Arial" w:hAnsi="Arial"/>
          <w:i/>
          <w:iCs/>
          <w:color w:val="666666"/>
          <w:sz w:val="20"/>
          <w:szCs w:val="20"/>
        </w:rPr>
        <w:t xml:space="preserve">6. Bright Meadow Group, "RRP10 — Strategic Deployment Outlook," Version 2.0.</w:t>
      </w:r>
    </w:p>
    <w:p>
      <w:pPr>
        <w:spacing w:before="40" w:after="40"/>
        <w:ind w:left="360"/>
      </w:pPr>
      <w:r>
        <w:rPr>
          <w:rFonts w:ascii="Arial" w:cs="Arial" w:eastAsia="Arial" w:hAnsi="Arial"/>
          <w:i/>
          <w:iCs/>
          <w:color w:val="666666"/>
          <w:sz w:val="20"/>
          <w:szCs w:val="20"/>
        </w:rPr>
        <w:t xml:space="preserve">7. Congressional Research Service reports on Farm Bill Conservation Programs, IRA Bioenergy Provisions, WRDA, and EPA 319(h).</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RRP12  |  RRP0002.13</w:t>
            </w:r>
          </w:p>
          <w:p>
            <w:pPr>
              <w:spacing w:before="0" w:after="0"/>
            </w:pPr>
            <w:r>
              <w:rPr>
                <w:rFonts w:ascii="Arial" w:cs="Arial" w:eastAsia="Arial" w:hAnsi="Arial"/>
                <w:b/>
                <w:bCs/>
                <w:color w:val="FFFFFF"/>
                <w:sz w:val="36"/>
                <w:szCs w:val="36"/>
              </w:rPr>
              <w:t xml:space="preserve">Deployment Economics &amp; Revenue Stack</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Note: The primary economic analysis — including the three-scenario financial framework, full revenue layer documentation, capital stack, and operating cost structure — is contained in the RRP Economic Analysis Complete document (Version 2.0, 01 April 2026). RRP12 provides the deployment economics narrative and complete 8-layer revenue stack description in long-form prose format.</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1. The Economic Thesis</w:t>
      </w:r>
    </w:p>
    <w:p>
      <w:pPr>
        <w:spacing w:before="60" w:after="60"/>
      </w:pPr>
      <w:r>
        <w:rPr>
          <w:rFonts w:ascii="Arial" w:cs="Arial" w:eastAsia="Arial" w:hAnsi="Arial"/>
          <w:sz w:val="24"/>
          <w:szCs w:val="24"/>
        </w:rPr>
        <w:t xml:space="preserve">The RRP succeeds financially because it transforms the source of environmental damage into commercially valuable outputs. Riverborne nutrients, organic solids, suspended material, heat, and CO₂ — the inputs that drive ecological harm — are redirected inside the RRP node and converted into biomass, fuel precursors, carbon-negative materials, and verifiable environmental credits. The pollutant is the feedstock. The cleanup is the production process.</w:t>
      </w:r>
    </w:p>
    <w:p>
      <w:pPr>
        <w:spacing w:before="60" w:after="60"/>
      </w:pPr>
      <w:r>
        <w:rPr>
          <w:rFonts w:ascii="Arial" w:cs="Arial" w:eastAsia="Arial" w:hAnsi="Arial"/>
          <w:sz w:val="24"/>
          <w:szCs w:val="24"/>
        </w:rPr>
        <w:t xml:space="preserve">This principle means the system becomes more economically productive in direct proportion to how polluted the source water is. The most degraded rivers are the best business cases. This alignment between environmental need and financial incentive is the system's most important structural characteristic.</w:t>
      </w:r>
    </w:p>
    <w:p>
      <w:pPr>
        <w:pStyle w:val="Heading2"/>
        <w:spacing w:before="300" w:after="120"/>
      </w:pPr>
      <w:r>
        <w:rPr>
          <w:rFonts w:ascii="Arial" w:cs="Arial" w:eastAsia="Arial" w:hAnsi="Arial"/>
          <w:b/>
          <w:bCs/>
          <w:color w:val="2E75B6"/>
          <w:sz w:val="28"/>
          <w:szCs w:val="28"/>
        </w:rPr>
        <w:t xml:space="preserve">2. Three-Scenario Reference</w:t>
      </w:r>
    </w:p>
    <w:p>
      <w:pPr>
        <w:pStyle w:val="ListParagraph"/>
        <w:numPr>
          <w:ilvl w:val="0"/>
          <w:numId w:val="2"/>
        </w:numPr>
        <w:spacing w:before="40" w:after="40"/>
      </w:pPr>
      <w:r>
        <w:rPr>
          <w:rFonts w:ascii="Arial" w:cs="Arial" w:eastAsia="Arial" w:hAnsi="Arial"/>
          <w:sz w:val="24"/>
          <w:szCs w:val="24"/>
        </w:rPr>
        <w:t xml:space="preserve">Stress Test: floor-market prices, reduced cycles, no grants. System loses money. Biology continues to function. Environmental mandate is fulfilled regardless of market conditions.</w:t>
      </w:r>
    </w:p>
    <w:p>
      <w:pPr>
        <w:pStyle w:val="ListParagraph"/>
        <w:numPr>
          <w:ilvl w:val="0"/>
          <w:numId w:val="2"/>
        </w:numPr>
        <w:spacing w:before="40" w:after="40"/>
      </w:pPr>
      <w:r>
        <w:rPr>
          <w:rFonts w:ascii="Arial" w:cs="Arial" w:eastAsia="Arial" w:hAnsi="Arial"/>
          <w:sz w:val="24"/>
          <w:szCs w:val="24"/>
        </w:rPr>
        <w:t xml:space="preserve">Operating Model: industrial build at $7/sq ft, mid-market prices, full cycles. Model B profitable at 11.8% EBITDA. Model A requires one Model B satellite to cross into positive territory. $5.25/lb nitrogen credit price produces standalone Model A profitability.</w:t>
      </w:r>
    </w:p>
    <w:p>
      <w:pPr>
        <w:pStyle w:val="ListParagraph"/>
        <w:numPr>
          <w:ilvl w:val="0"/>
          <w:numId w:val="2"/>
        </w:numPr>
        <w:spacing w:before="40" w:after="40"/>
      </w:pPr>
      <w:r>
        <w:rPr>
          <w:rFonts w:ascii="Arial" w:cs="Arial" w:eastAsia="Arial" w:hAnsi="Arial"/>
          <w:sz w:val="24"/>
          <w:szCs w:val="24"/>
        </w:rPr>
        <w:t xml:space="preserve">Best Case: premium prices, year-round operation, 97% uptime. Model B clears $2.37M net income on $4.35M equity, sub-1-year payback.</w:t>
      </w:r>
    </w:p>
    <w:p>
      <w:pPr>
        <w:pStyle w:val="Heading2"/>
        <w:spacing w:before="300" w:after="120"/>
      </w:pPr>
      <w:r>
        <w:rPr>
          <w:rFonts w:ascii="Arial" w:cs="Arial" w:eastAsia="Arial" w:hAnsi="Arial"/>
          <w:b/>
          <w:bCs/>
          <w:color w:val="2E75B6"/>
          <w:sz w:val="28"/>
          <w:szCs w:val="28"/>
        </w:rPr>
        <w:t xml:space="preserve">3. The 8-Layer Revenue Stack</w:t>
      </w:r>
    </w:p>
    <w:p>
      <w:pPr>
        <w:pStyle w:val="ListParagraph"/>
        <w:numPr>
          <w:ilvl w:val="0"/>
          <w:numId w:val="2"/>
        </w:numPr>
        <w:spacing w:before="40" w:after="40"/>
      </w:pPr>
      <w:r>
        <w:rPr>
          <w:rFonts w:ascii="Arial" w:cs="Arial" w:eastAsia="Arial" w:hAnsi="Arial"/>
          <w:sz w:val="24"/>
          <w:szCs w:val="24"/>
        </w:rPr>
        <w:t xml:space="preserve">Layer 1: Biomass Production — primary cash flow, commodity-tied, high volume</w:t>
      </w:r>
    </w:p>
    <w:p>
      <w:pPr>
        <w:pStyle w:val="ListParagraph"/>
        <w:numPr>
          <w:ilvl w:val="0"/>
          <w:numId w:val="2"/>
        </w:numPr>
        <w:spacing w:before="40" w:after="40"/>
      </w:pPr>
      <w:r>
        <w:rPr>
          <w:rFonts w:ascii="Arial" w:cs="Arial" w:eastAsia="Arial" w:hAnsi="Arial"/>
          <w:sz w:val="24"/>
          <w:szCs w:val="24"/>
        </w:rPr>
        <w:t xml:space="preserve">Layer 2: Hydrochar — carbon-negative material, soil amendment, activated carbon precursor</w:t>
      </w:r>
    </w:p>
    <w:p>
      <w:pPr>
        <w:pStyle w:val="ListParagraph"/>
        <w:numPr>
          <w:ilvl w:val="0"/>
          <w:numId w:val="2"/>
        </w:numPr>
        <w:spacing w:before="40" w:after="40"/>
      </w:pPr>
      <w:r>
        <w:rPr>
          <w:rFonts w:ascii="Arial" w:cs="Arial" w:eastAsia="Arial" w:hAnsi="Arial"/>
          <w:sz w:val="24"/>
          <w:szCs w:val="24"/>
        </w:rPr>
        <w:t xml:space="preserve">Layer 3: Bio-Oil — industrial feedstock, refinery-grade, globally tradable</w:t>
      </w:r>
    </w:p>
    <w:p>
      <w:pPr>
        <w:pStyle w:val="ListParagraph"/>
        <w:numPr>
          <w:ilvl w:val="0"/>
          <w:numId w:val="2"/>
        </w:numPr>
        <w:spacing w:before="40" w:after="40"/>
      </w:pPr>
      <w:r>
        <w:rPr>
          <w:rFonts w:ascii="Arial" w:cs="Arial" w:eastAsia="Arial" w:hAnsi="Arial"/>
          <w:sz w:val="24"/>
          <w:szCs w:val="24"/>
        </w:rPr>
        <w:t xml:space="preserve">Layer 4: Carbon Sequestration Credits — hydrochar permanence, avoided emissions</w:t>
      </w:r>
    </w:p>
    <w:p>
      <w:pPr>
        <w:pStyle w:val="ListParagraph"/>
        <w:numPr>
          <w:ilvl w:val="0"/>
          <w:numId w:val="2"/>
        </w:numPr>
        <w:spacing w:before="40" w:after="40"/>
      </w:pPr>
      <w:r>
        <w:rPr>
          <w:rFonts w:ascii="Arial" w:cs="Arial" w:eastAsia="Arial" w:hAnsi="Arial"/>
          <w:sz w:val="24"/>
          <w:szCs w:val="24"/>
        </w:rPr>
        <w:t xml:space="preserve">Layer 5: Nutrient Trading &amp; Water-Quality Credits — primary revenue driver, performance-based</w:t>
      </w:r>
    </w:p>
    <w:p>
      <w:pPr>
        <w:pStyle w:val="ListParagraph"/>
        <w:numPr>
          <w:ilvl w:val="0"/>
          <w:numId w:val="2"/>
        </w:numPr>
        <w:spacing w:before="40" w:after="40"/>
      </w:pPr>
      <w:r>
        <w:rPr>
          <w:rFonts w:ascii="Arial" w:cs="Arial" w:eastAsia="Arial" w:hAnsi="Arial"/>
          <w:sz w:val="24"/>
          <w:szCs w:val="24"/>
        </w:rPr>
        <w:t xml:space="preserve">Layer 6: Biogas &amp; Heat Recovery — thermal self-sufficiency, no purchased heating</w:t>
      </w:r>
    </w:p>
    <w:p>
      <w:pPr>
        <w:pStyle w:val="ListParagraph"/>
        <w:numPr>
          <w:ilvl w:val="0"/>
          <w:numId w:val="2"/>
        </w:numPr>
        <w:spacing w:before="40" w:after="40"/>
      </w:pPr>
      <w:r>
        <w:rPr>
          <w:rFonts w:ascii="Arial" w:cs="Arial" w:eastAsia="Arial" w:hAnsi="Arial"/>
          <w:sz w:val="24"/>
          <w:szCs w:val="24"/>
        </w:rPr>
        <w:t xml:space="preserve">Layer 7: Productized Side-Streams — aqueous-phase organics, fibrous residues, clarified water</w:t>
      </w:r>
    </w:p>
    <w:p>
      <w:pPr>
        <w:pStyle w:val="ListParagraph"/>
        <w:numPr>
          <w:ilvl w:val="0"/>
          <w:numId w:val="2"/>
        </w:numPr>
        <w:spacing w:before="40" w:after="40"/>
      </w:pPr>
      <w:r>
        <w:rPr>
          <w:rFonts w:ascii="Arial" w:cs="Arial" w:eastAsia="Arial" w:hAnsi="Arial"/>
          <w:sz w:val="24"/>
          <w:szCs w:val="24"/>
        </w:rPr>
        <w:t xml:space="preserve">Layer 8: Environmental Data — research contracts, academic partnerships, predictive analytics</w:t>
      </w:r>
    </w:p>
    <w:p>
      <w:pPr>
        <w:pStyle w:val="Heading2"/>
        <w:spacing w:before="300" w:after="120"/>
      </w:pPr>
      <w:r>
        <w:rPr>
          <w:rFonts w:ascii="Arial" w:cs="Arial" w:eastAsia="Arial" w:hAnsi="Arial"/>
          <w:b/>
          <w:bCs/>
          <w:color w:val="2E75B6"/>
          <w:sz w:val="28"/>
          <w:szCs w:val="28"/>
        </w:rPr>
        <w:t xml:space="preserve">4. Long-Term National Economics</w:t>
      </w:r>
    </w:p>
    <w:p>
      <w:pPr>
        <w:spacing w:before="60" w:after="60"/>
      </w:pPr>
      <w:r>
        <w:rPr>
          <w:rFonts w:ascii="Arial" w:cs="Arial" w:eastAsia="Arial" w:hAnsi="Arial"/>
          <w:sz w:val="24"/>
          <w:szCs w:val="24"/>
        </w:rPr>
        <w:t xml:space="preserve">As nodes scale across watersheds, supply chains consolidate, biomass feedstock contracts stabilize, and data products gain national significance. Tribal nations adopt sovereign nodes. Rural regions anchor local processing loops. National credit markets mature around hydrochar permanence. Over 20–30 years this becomes a new rural industry category — watershed restoration agriculture — producing jobs, fuel, materials, carbon storage, and restored rivers simultaneously. No other restoration approach creates a nationwide supply chain.</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Bright Meadow Group, "RRP Economic Analysis — Three-Scenario Framework," Version 2.0. CF/BMG, 01 April 2026.</w:t>
      </w:r>
    </w:p>
    <w:p>
      <w:pPr>
        <w:spacing w:before="40" w:after="40"/>
        <w:ind w:left="360"/>
      </w:pPr>
      <w:r>
        <w:rPr>
          <w:rFonts w:ascii="Arial" w:cs="Arial" w:eastAsia="Arial" w:hAnsi="Arial"/>
          <w:i/>
          <w:iCs/>
          <w:color w:val="666666"/>
          <w:sz w:val="20"/>
          <w:szCs w:val="20"/>
        </w:rPr>
        <w:t xml:space="preserve">2. Bright Meadow Group, "RRP10 — Strategic Deployment Outlook," Version 2.0. CF/BMG, 01 April 2026.</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Appendix A  |  RRP0002-AppA</w:t>
            </w:r>
          </w:p>
          <w:p>
            <w:pPr>
              <w:spacing w:before="0" w:after="0"/>
            </w:pPr>
            <w:r>
              <w:rPr>
                <w:rFonts w:ascii="Arial" w:cs="Arial" w:eastAsia="Arial" w:hAnsi="Arial"/>
                <w:b/>
                <w:bCs/>
                <w:color w:val="FFFFFF"/>
                <w:sz w:val="36"/>
                <w:szCs w:val="36"/>
              </w:rPr>
              <w:t xml:space="preserve">Site Selection Matrix</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The RRP Site Selection Matrix is a standardized scoring tool used to evaluate potential locations for pilots, 100-acre nodes, regional clusters, and long-term watershed deployments. Each prospective site is evaluated across 10 weighted criteria, each scored 0–5, producing a composite score out of 150. The scoring system is objective, finance-aware, engineering-realistic, and free from charitable distortion. Minimum recommended threshold for first-wave nodes: 110/150.</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Scoring Criteria &amp; Weights</w:t>
      </w:r>
    </w:p>
    <w:p>
      <w:pPr>
        <w:spacing w:before="60" w:after="60"/>
      </w:pPr>
      <w:r>
        <w:rPr>
          <w:rFonts w:ascii="Arial" w:cs="Arial" w:eastAsia="Arial" w:hAnsi="Arial"/>
          <w:sz w:val="24"/>
          <w:szCs w:val="24"/>
        </w:rPr>
        <w:t xml:space="preserve">The ten criteria, weights, and scoring descriptions are defined below. A worked example using the Helena-West Helena / Lula, Arkansas-Mississippi corridor site is included.</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300"/>
        <w:gridCol w:w="1000"/>
        <w:gridCol w:w="2260"/>
      </w:tblGrid>
      <w:tr>
        <w:trPr>
          <w:tblHeader/>
        </w:trPr>
        <w:tc>
          <w:tcPr>
            <w:tcW w:type="dxa" w:w="2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Criterion</w:t>
            </w:r>
          </w:p>
        </w:tc>
        <w:tc>
          <w:tcPr>
            <w:tcW w:type="dxa" w:w="33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1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Weight</w:t>
            </w:r>
          </w:p>
        </w:tc>
        <w:tc>
          <w:tcPr>
            <w:tcW w:type="dxa" w:w="22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Helena Score</w:t>
            </w:r>
          </w:p>
        </w:tc>
      </w:tr>
      <w:tr>
        <w:tc>
          <w:tcPr>
            <w:tcW w:type="dxa" w:w="2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1. Nutrient Load &amp; Water Quality</w:t>
            </w:r>
          </w:p>
        </w:tc>
        <w:tc>
          <w:tcPr>
            <w:tcW w:type="dxa" w:w="33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Basin nutrient density, turbidity, organics</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×4</w:t>
            </w:r>
          </w:p>
        </w:tc>
        <w:tc>
          <w:tcPr>
            <w:tcW w:type="dxa" w:w="22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5/5 = 20</w:t>
            </w:r>
          </w:p>
        </w:tc>
      </w:tr>
      <w:tr>
        <w:tc>
          <w:tcPr>
            <w:tcW w:type="dxa" w:w="2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2. Land Cost &amp; Availability</w:t>
            </w:r>
          </w:p>
        </w:tc>
        <w:tc>
          <w:tcPr>
            <w:tcW w:type="dxa" w:w="33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Acreage cost, zoning, floodplain constraints</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×3</w:t>
            </w:r>
          </w:p>
        </w:tc>
        <w:tc>
          <w:tcPr>
            <w:tcW w:type="dxa" w:w="22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5/5 = 15</w:t>
            </w:r>
          </w:p>
        </w:tc>
      </w:tr>
      <w:tr>
        <w:tc>
          <w:tcPr>
            <w:tcW w:type="dxa" w:w="2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3. Climate Compatibility</w:t>
            </w:r>
          </w:p>
        </w:tc>
        <w:tc>
          <w:tcPr>
            <w:tcW w:type="dxa" w:w="33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Growing season length, freeze risk</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×3</w:t>
            </w:r>
          </w:p>
        </w:tc>
        <w:tc>
          <w:tcPr>
            <w:tcW w:type="dxa" w:w="22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5/5 = 15</w:t>
            </w:r>
          </w:p>
        </w:tc>
      </w:tr>
      <w:tr>
        <w:tc>
          <w:tcPr>
            <w:tcW w:type="dxa" w:w="2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4. Hydrological Stability</w:t>
            </w:r>
          </w:p>
        </w:tc>
        <w:tc>
          <w:tcPr>
            <w:tcW w:type="dxa" w:w="33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Flow reliability, drought/surge risk</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×3</w:t>
            </w:r>
          </w:p>
        </w:tc>
        <w:tc>
          <w:tcPr>
            <w:tcW w:type="dxa" w:w="22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5/5 = 15</w:t>
            </w:r>
          </w:p>
        </w:tc>
      </w:tr>
      <w:tr>
        <w:tc>
          <w:tcPr>
            <w:tcW w:type="dxa" w:w="2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5. Labor Availability</w:t>
            </w:r>
          </w:p>
        </w:tc>
        <w:tc>
          <w:tcPr>
            <w:tcW w:type="dxa" w:w="33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Skilled &amp; semi-skilled workforce access</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×2</w:t>
            </w:r>
          </w:p>
        </w:tc>
        <w:tc>
          <w:tcPr>
            <w:tcW w:type="dxa" w:w="22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4/5 = 8</w:t>
            </w:r>
          </w:p>
        </w:tc>
      </w:tr>
      <w:tr>
        <w:tc>
          <w:tcPr>
            <w:tcW w:type="dxa" w:w="2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6. Regulatory Environment</w:t>
            </w:r>
          </w:p>
        </w:tc>
        <w:tc>
          <w:tcPr>
            <w:tcW w:type="dxa" w:w="33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Permitting difficulty, compliance friction</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×2</w:t>
            </w:r>
          </w:p>
        </w:tc>
        <w:tc>
          <w:tcPr>
            <w:tcW w:type="dxa" w:w="22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4/5 = 8</w:t>
            </w:r>
          </w:p>
        </w:tc>
      </w:tr>
      <w:tr>
        <w:tc>
          <w:tcPr>
            <w:tcW w:type="dxa" w:w="2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7. Logistics &amp; Access</w:t>
            </w:r>
          </w:p>
        </w:tc>
        <w:tc>
          <w:tcPr>
            <w:tcW w:type="dxa" w:w="33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Roads, utilities, proximity to buyers</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×2</w:t>
            </w:r>
          </w:p>
        </w:tc>
        <w:tc>
          <w:tcPr>
            <w:tcW w:type="dxa" w:w="22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4/5 = 8</w:t>
            </w:r>
          </w:p>
        </w:tc>
      </w:tr>
      <w:tr>
        <w:tc>
          <w:tcPr>
            <w:tcW w:type="dxa" w:w="2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8. Local Investment Alignment</w:t>
            </w:r>
          </w:p>
        </w:tc>
        <w:tc>
          <w:tcPr>
            <w:tcW w:type="dxa" w:w="33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County/state/tribal willingness to invest</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×2</w:t>
            </w:r>
          </w:p>
        </w:tc>
        <w:tc>
          <w:tcPr>
            <w:tcW w:type="dxa" w:w="22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5/5 = 10</w:t>
            </w:r>
          </w:p>
        </w:tc>
      </w:tr>
      <w:tr>
        <w:tc>
          <w:tcPr>
            <w:tcW w:type="dxa" w:w="2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9. Community Compatibility</w:t>
            </w:r>
          </w:p>
        </w:tc>
        <w:tc>
          <w:tcPr>
            <w:tcW w:type="dxa" w:w="33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Supportiveness, risk of pushback</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×1</w:t>
            </w:r>
          </w:p>
        </w:tc>
        <w:tc>
          <w:tcPr>
            <w:tcW w:type="dxa" w:w="22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4/5 = 4</w:t>
            </w:r>
          </w:p>
        </w:tc>
      </w:tr>
      <w:tr>
        <w:tc>
          <w:tcPr>
            <w:tcW w:type="dxa" w:w="2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10. Strategic Expansion Value</w:t>
            </w:r>
          </w:p>
        </w:tc>
        <w:tc>
          <w:tcPr>
            <w:tcW w:type="dxa" w:w="33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Influence on regional scaling</w:t>
            </w:r>
          </w:p>
        </w:tc>
        <w:tc>
          <w:tcPr>
            <w:tcW w:type="dxa" w:w="1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×3</w:t>
            </w:r>
          </w:p>
        </w:tc>
        <w:tc>
          <w:tcPr>
            <w:tcW w:type="dxa" w:w="22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5/5 = 15</w:t>
            </w:r>
          </w:p>
        </w:tc>
      </w:tr>
    </w:tbl>
    <w:p>
      <w:pPr>
        <w:spacing w:before="120" w:after="0"/>
      </w:pPr>
      <w:r>
        <w:t xml:space="preserve"/>
      </w:r>
    </w:p>
    <w:p>
      <w:pPr>
        <w:spacing w:before="60" w:after="60"/>
      </w:pPr>
      <w:r>
        <w:rPr>
          <w:rFonts w:ascii="Arial" w:cs="Arial" w:eastAsia="Arial" w:hAnsi="Arial"/>
          <w:b/>
          <w:bCs/>
          <w:sz w:val="24"/>
          <w:szCs w:val="24"/>
        </w:rPr>
        <w:t xml:space="preserve">Helena-West Helena / Lula composite score: 118 / 150</w:t>
      </w:r>
    </w:p>
    <w:p>
      <w:pPr>
        <w:spacing w:before="60" w:after="60"/>
      </w:pPr>
      <w:r>
        <w:rPr>
          <w:rFonts w:ascii="Arial" w:cs="Arial" w:eastAsia="Arial" w:hAnsi="Arial"/>
          <w:sz w:val="24"/>
          <w:szCs w:val="24"/>
        </w:rPr>
        <w:t xml:space="preserve">Recommended minimum threshold for first-wave nodes: 110. This site exceeds threshold and is ranked as the Flagship first deployment site in Appendix C.</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Bright Meadow Group, "RRP Site Selection Methodology." CF/BMG Internal, 2025.</w:t>
      </w:r>
    </w:p>
    <w:p>
      <w:pPr>
        <w:spacing w:before="40" w:after="40"/>
        <w:ind w:left="360"/>
      </w:pPr>
      <w:r>
        <w:rPr>
          <w:rFonts w:ascii="Arial" w:cs="Arial" w:eastAsia="Arial" w:hAnsi="Arial"/>
          <w:i/>
          <w:iCs/>
          <w:color w:val="666666"/>
          <w:sz w:val="20"/>
          <w:szCs w:val="20"/>
        </w:rPr>
        <w:t xml:space="preserve">2. Bright Meadow Group, "RRPc — Initial Five Recommended Sites," Version 2.0. CF/BMG, 01 April 2026.</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Appendix B  |  RRP0002-AppB</w:t>
            </w:r>
          </w:p>
          <w:p>
            <w:pPr>
              <w:spacing w:before="0" w:after="0"/>
            </w:pPr>
            <w:r>
              <w:rPr>
                <w:rFonts w:ascii="Arial" w:cs="Arial" w:eastAsia="Arial" w:hAnsi="Arial"/>
                <w:b/>
                <w:bCs/>
                <w:color w:val="FFFFFF"/>
                <w:sz w:val="36"/>
                <w:szCs w:val="36"/>
              </w:rPr>
              <w:t xml:space="preserve">National Watershed Priority Map</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Appendix B provides the national deployment priority structure for the River Refugium Project as a narrative map defining which watersheds come first, why, how they influence regional scaling, and which areas are targeted in first-, second-, and third-wave deployments. A visual graphic map is planned for Version 2.1. The prioritization logic follows three principles: follow the pollution, follow the water consolidation, and follow the economic advantage.</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Prioritization Logic</w:t>
      </w:r>
    </w:p>
    <w:p>
      <w:pPr>
        <w:spacing w:before="60" w:after="60"/>
      </w:pPr>
      <w:r>
        <w:rPr>
          <w:rFonts w:ascii="Arial" w:cs="Arial" w:eastAsia="Arial" w:hAnsi="Arial"/>
          <w:sz w:val="24"/>
          <w:szCs w:val="24"/>
        </w:rPr>
        <w:t xml:space="preserve">Three principles govern deployment sequencing. First, follow the pollution — nodes go where nutrient density and suspended organics are strongest. Second, follow the water consolidation — nodes go where multiple rivers merge into one, maximizing feedstock concentration per intake. Third, follow the economic advantage — nodes go where land, labor, and regulatory cooperation produce optimal returns.</w:t>
      </w:r>
    </w:p>
    <w:p>
      <w:pPr>
        <w:pStyle w:val="Heading2"/>
        <w:spacing w:before="300" w:after="120"/>
      </w:pPr>
      <w:r>
        <w:rPr>
          <w:rFonts w:ascii="Arial" w:cs="Arial" w:eastAsia="Arial" w:hAnsi="Arial"/>
          <w:b/>
          <w:bCs/>
          <w:color w:val="2E75B6"/>
          <w:sz w:val="28"/>
          <w:szCs w:val="28"/>
        </w:rPr>
        <w:t xml:space="preserve">Tier 1 Priority Watersheds</w:t>
      </w:r>
    </w:p>
    <w:p>
      <w:pPr>
        <w:spacing w:before="60" w:after="60"/>
      </w:pPr>
      <w:r>
        <w:rPr>
          <w:rFonts w:ascii="Arial" w:cs="Arial" w:eastAsia="Arial" w:hAnsi="Arial"/>
          <w:sz w:val="24"/>
          <w:szCs w:val="24"/>
        </w:rPr>
        <w:t xml:space="preserve">Tier 1 watersheds produce the first 10–20 commercial nodes. They offer the highest nutrient load, most reliable flow, clearest environmental benefit, greatest biomass potential, lowest operational risk, and best economic viability.</w:t>
      </w:r>
    </w:p>
    <w:p>
      <w:pPr>
        <w:pStyle w:val="ListParagraph"/>
        <w:numPr>
          <w:ilvl w:val="0"/>
          <w:numId w:val="2"/>
        </w:numPr>
        <w:spacing w:before="40" w:after="40"/>
      </w:pPr>
      <w:r>
        <w:rPr>
          <w:rFonts w:ascii="Arial" w:cs="Arial" w:eastAsia="Arial" w:hAnsi="Arial"/>
          <w:sz w:val="24"/>
          <w:szCs w:val="24"/>
        </w:rPr>
        <w:t xml:space="preserve">Lower Mississippi Basin (Primary). Memphis to New Orleans, Arkansas-Mississippi borderlands. Peak nutrient concentration from the entire Midwest. Warm climate, cheap land, abundant labor. Massive downstream Gulf Hypoxia impact. This is the birthplace of the RRP industry.</w:t>
      </w:r>
    </w:p>
    <w:p>
      <w:pPr>
        <w:pStyle w:val="ListParagraph"/>
        <w:numPr>
          <w:ilvl w:val="0"/>
          <w:numId w:val="2"/>
        </w:numPr>
        <w:spacing w:before="40" w:after="40"/>
      </w:pPr>
      <w:r>
        <w:rPr>
          <w:rFonts w:ascii="Arial" w:cs="Arial" w:eastAsia="Arial" w:hAnsi="Arial"/>
          <w:sz w:val="24"/>
          <w:szCs w:val="24"/>
        </w:rPr>
        <w:t xml:space="preserve">Ohio River Basin. Cairo to Pittsburgh. Second-largest Gulf hypoxia contributor. Multiple agricultural and urban inputs. Large industrial corridor.</w:t>
      </w:r>
    </w:p>
    <w:p>
      <w:pPr>
        <w:pStyle w:val="ListParagraph"/>
        <w:numPr>
          <w:ilvl w:val="0"/>
          <w:numId w:val="2"/>
        </w:numPr>
        <w:spacing w:before="40" w:after="40"/>
      </w:pPr>
      <w:r>
        <w:rPr>
          <w:rFonts w:ascii="Arial" w:cs="Arial" w:eastAsia="Arial" w:hAnsi="Arial"/>
          <w:sz w:val="24"/>
          <w:szCs w:val="24"/>
        </w:rPr>
        <w:t xml:space="preserve">Missouri River Lower Basin. Kansas City to St. Louis confluence. High sediment and nutrient load from Great Plains and agricultural zones.</w:t>
      </w:r>
    </w:p>
    <w:p>
      <w:pPr>
        <w:pStyle w:val="ListParagraph"/>
        <w:numPr>
          <w:ilvl w:val="0"/>
          <w:numId w:val="2"/>
        </w:numPr>
        <w:spacing w:before="40" w:after="40"/>
      </w:pPr>
      <w:r>
        <w:rPr>
          <w:rFonts w:ascii="Arial" w:cs="Arial" w:eastAsia="Arial" w:hAnsi="Arial"/>
          <w:sz w:val="24"/>
          <w:szCs w:val="24"/>
        </w:rPr>
        <w:t xml:space="preserve">Arkansas River Basin. Tulsa to Pine Bluff. High nutrient inflow. Warm Southern climate. Strategic duplication site for Mississippi-style nodes.</w:t>
      </w:r>
    </w:p>
    <w:p>
      <w:pPr>
        <w:pStyle w:val="ListParagraph"/>
        <w:numPr>
          <w:ilvl w:val="0"/>
          <w:numId w:val="2"/>
        </w:numPr>
        <w:spacing w:before="40" w:after="40"/>
      </w:pPr>
      <w:r>
        <w:rPr>
          <w:rFonts w:ascii="Arial" w:cs="Arial" w:eastAsia="Arial" w:hAnsi="Arial"/>
          <w:sz w:val="24"/>
          <w:szCs w:val="24"/>
        </w:rPr>
        <w:t xml:space="preserve">Red River Basin. Southern Oklahoma, northern Texas, Louisiana. Nutrient-rich with severe seasonal impacts.</w:t>
      </w:r>
    </w:p>
    <w:p>
      <w:pPr>
        <w:pStyle w:val="Heading2"/>
        <w:spacing w:before="300" w:after="120"/>
      </w:pPr>
      <w:r>
        <w:rPr>
          <w:rFonts w:ascii="Arial" w:cs="Arial" w:eastAsia="Arial" w:hAnsi="Arial"/>
          <w:b/>
          <w:bCs/>
          <w:color w:val="2E75B6"/>
          <w:sz w:val="28"/>
          <w:szCs w:val="28"/>
        </w:rPr>
        <w:t xml:space="preserve">Tier 2 Priority Watersheds</w:t>
      </w:r>
    </w:p>
    <w:p>
      <w:pPr>
        <w:spacing w:before="60" w:after="60"/>
      </w:pPr>
      <w:r>
        <w:rPr>
          <w:rFonts w:ascii="Arial" w:cs="Arial" w:eastAsia="Arial" w:hAnsi="Arial"/>
          <w:sz w:val="24"/>
          <w:szCs w:val="24"/>
        </w:rPr>
        <w:t xml:space="preserve">Tier 2 watersheds have high viability with either seasonal constraints, mid-range nutrient load, or moderately more complex regulatory landscapes. Produces nodes 20–40.</w:t>
      </w:r>
    </w:p>
    <w:p>
      <w:pPr>
        <w:pStyle w:val="ListParagraph"/>
        <w:numPr>
          <w:ilvl w:val="0"/>
          <w:numId w:val="2"/>
        </w:numPr>
        <w:spacing w:before="40" w:after="40"/>
      </w:pPr>
      <w:r>
        <w:rPr>
          <w:rFonts w:ascii="Arial" w:cs="Arial" w:eastAsia="Arial" w:hAnsi="Arial"/>
          <w:sz w:val="24"/>
          <w:szCs w:val="24"/>
        </w:rPr>
        <w:t xml:space="preserve">Illinois River — one of the most nutrient-rich rivers per mile in the U.S. Direct pipeline to Mississippi.</w:t>
      </w:r>
    </w:p>
    <w:p>
      <w:pPr>
        <w:pStyle w:val="ListParagraph"/>
        <w:numPr>
          <w:ilvl w:val="0"/>
          <w:numId w:val="2"/>
        </w:numPr>
        <w:spacing w:before="40" w:after="40"/>
      </w:pPr>
      <w:r>
        <w:rPr>
          <w:rFonts w:ascii="Arial" w:cs="Arial" w:eastAsia="Arial" w:hAnsi="Arial"/>
          <w:sz w:val="24"/>
          <w:szCs w:val="24"/>
        </w:rPr>
        <w:t xml:space="preserve">Chesapeake Bay Tributaries — Susquehanna, Potomac, James, Patuxent. High political will, large funding streams, strong academic infrastructure.</w:t>
      </w:r>
    </w:p>
    <w:p>
      <w:pPr>
        <w:pStyle w:val="ListParagraph"/>
        <w:numPr>
          <w:ilvl w:val="0"/>
          <w:numId w:val="2"/>
        </w:numPr>
        <w:spacing w:before="40" w:after="40"/>
      </w:pPr>
      <w:r>
        <w:rPr>
          <w:rFonts w:ascii="Arial" w:cs="Arial" w:eastAsia="Arial" w:hAnsi="Arial"/>
          <w:sz w:val="24"/>
          <w:szCs w:val="24"/>
        </w:rPr>
        <w:t xml:space="preserve">Central Valley, California — nutrient-rich agricultural drainage, water scarcity requiring regenerative solutions.</w:t>
      </w:r>
    </w:p>
    <w:p>
      <w:pPr>
        <w:pStyle w:val="ListParagraph"/>
        <w:numPr>
          <w:ilvl w:val="0"/>
          <w:numId w:val="2"/>
        </w:numPr>
        <w:spacing w:before="40" w:after="40"/>
      </w:pPr>
      <w:r>
        <w:rPr>
          <w:rFonts w:ascii="Arial" w:cs="Arial" w:eastAsia="Arial" w:hAnsi="Arial"/>
          <w:sz w:val="24"/>
          <w:szCs w:val="24"/>
        </w:rPr>
        <w:t xml:space="preserve">Florida Nutrient Hotspots — Lake Okeechobee, St. Lucie, Caloosahatchee. Massive algal bloom issues, warm climate, exceptional biomass potential.</w:t>
      </w:r>
    </w:p>
    <w:p>
      <w:pPr>
        <w:pStyle w:val="ListParagraph"/>
        <w:numPr>
          <w:ilvl w:val="0"/>
          <w:numId w:val="2"/>
        </w:numPr>
        <w:spacing w:before="40" w:after="40"/>
      </w:pPr>
      <w:r>
        <w:rPr>
          <w:rFonts w:ascii="Arial" w:cs="Arial" w:eastAsia="Arial" w:hAnsi="Arial"/>
          <w:sz w:val="24"/>
          <w:szCs w:val="24"/>
        </w:rPr>
        <w:t xml:space="preserve">Great Lakes Tributaries — Maumee, Fox, Milwaukee, Saginaw. Major algal bloom drivers, high political and academic interest.</w:t>
      </w:r>
    </w:p>
    <w:p>
      <w:pPr>
        <w:pStyle w:val="Heading2"/>
        <w:spacing w:before="300" w:after="120"/>
      </w:pPr>
      <w:r>
        <w:rPr>
          <w:rFonts w:ascii="Arial" w:cs="Arial" w:eastAsia="Arial" w:hAnsi="Arial"/>
          <w:b/>
          <w:bCs/>
          <w:color w:val="2E75B6"/>
          <w:sz w:val="28"/>
          <w:szCs w:val="28"/>
        </w:rPr>
        <w:t xml:space="preserve">Tribal Priority Corridors (Cross-Tier)</w:t>
      </w:r>
    </w:p>
    <w:p>
      <w:pPr>
        <w:spacing w:before="60" w:after="60"/>
      </w:pPr>
      <w:r>
        <w:rPr>
          <w:rFonts w:ascii="Arial" w:cs="Arial" w:eastAsia="Arial" w:hAnsi="Arial"/>
          <w:sz w:val="24"/>
          <w:szCs w:val="24"/>
        </w:rPr>
        <w:t xml:space="preserve">Tribal lands create special opportunity zones due to sovereign permitting, unique incentive structures, local land control, water rights flexibility, and desire for nation-to-nation environmental restoration. High-potential tribal corridors include Cherokee Nation (Arkansas River tributaries), Choctaw and Chickasaw (Red/Arkansas basins), Navajo Nation (San Juan watershed), and Ojibwe and Odawa (Upper Midwest and Great Lakes). Tribal nodes can skip tiers because sovereignty changes the economic and political calculus.</w:t>
      </w:r>
    </w:p>
    <w:p>
      <w:pPr>
        <w:pStyle w:val="Heading2"/>
        <w:spacing w:before="300" w:after="120"/>
      </w:pPr>
      <w:r>
        <w:rPr>
          <w:rFonts w:ascii="Arial" w:cs="Arial" w:eastAsia="Arial" w:hAnsi="Arial"/>
          <w:b/>
          <w:bCs/>
          <w:color w:val="2E75B6"/>
          <w:sz w:val="28"/>
          <w:szCs w:val="28"/>
        </w:rPr>
        <w:t xml:space="preserve">Note on Visual Map</w:t>
      </w:r>
    </w:p>
    <w:p>
      <w:pPr>
        <w:spacing w:before="60" w:after="60"/>
      </w:pPr>
      <w:r>
        <w:rPr>
          <w:rFonts w:ascii="Arial" w:cs="Arial" w:eastAsia="Arial" w:hAnsi="Arial"/>
          <w:sz w:val="24"/>
          <w:szCs w:val="24"/>
        </w:rPr>
        <w:t xml:space="preserve">A geographic map showing tier rankings, watershed boundaries, and priority site locations is planned for publication in Version 2.1 of the RRP document series.</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USGS, SPARROW Model — Nutrient Load Estimates for Major U.S. Basins. National Water-Quality Assessment Program.</w:t>
      </w:r>
    </w:p>
    <w:p>
      <w:pPr>
        <w:spacing w:before="40" w:after="40"/>
        <w:ind w:left="360"/>
      </w:pPr>
      <w:r>
        <w:rPr>
          <w:rFonts w:ascii="Arial" w:cs="Arial" w:eastAsia="Arial" w:hAnsi="Arial"/>
          <w:i/>
          <w:iCs/>
          <w:color w:val="666666"/>
          <w:sz w:val="20"/>
          <w:szCs w:val="20"/>
        </w:rPr>
        <w:t xml:space="preserve">2. Bright Meadow Group, "RRP7 — Governance, Regulatory &amp; Community Integration," Version 2.0. Section 2, Tribal Sovereignty Integration.</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Appendix C  |  RRP0002-AppC</w:t>
            </w:r>
          </w:p>
          <w:p>
            <w:pPr>
              <w:spacing w:before="0" w:after="0"/>
            </w:pPr>
            <w:r>
              <w:rPr>
                <w:rFonts w:ascii="Arial" w:cs="Arial" w:eastAsia="Arial" w:hAnsi="Arial"/>
                <w:b/>
                <w:bCs/>
                <w:color w:val="FFFFFF"/>
                <w:sz w:val="36"/>
                <w:szCs w:val="36"/>
              </w:rPr>
              <w:t xml:space="preserve">Initial Five Recommended Sites</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Appendix C identifies the first five ideal deployment sites for the River Refugium Project, scored using the Appendix A Site Selection Matrix. These sites represent the highest-impact, highest-return, lowest-risk initial opportunities in the United States. All scores are transparent and based on the 10-criterion matrix (max 150). Note on scores: the matrix was applied using best available public data on nutrient loads, land values, labor markets, and regulatory environments. Scores represent relative deployment readiness, not absolute performance guarantees. Site-specific surveys are required before capital commitment.</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800"/>
        <w:gridCol w:w="900"/>
        <w:gridCol w:w="4860"/>
      </w:tblGrid>
      <w:tr>
        <w:trPr>
          <w:tblHeader/>
        </w:trPr>
        <w:tc>
          <w:tcPr>
            <w:tcW w:type="dxa" w:w="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Rank</w:t>
            </w:r>
          </w:p>
        </w:tc>
        <w:tc>
          <w:tcPr>
            <w:tcW w:type="dxa" w:w="2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Site</w:t>
            </w:r>
          </w:p>
        </w:tc>
        <w:tc>
          <w:tcPr>
            <w:tcW w:type="dxa" w:w="9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Score</w:t>
            </w:r>
          </w:p>
        </w:tc>
        <w:tc>
          <w:tcPr>
            <w:tcW w:type="dxa" w:w="48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1</w:t>
            </w:r>
          </w:p>
        </w:tc>
        <w:tc>
          <w:tcPr>
            <w:tcW w:type="dxa" w:w="2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Helena-West Helena / Lula, AR-MS</w:t>
            </w:r>
          </w:p>
        </w:tc>
        <w:tc>
          <w:tcPr>
            <w:tcW w:type="dxa" w:w="9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118/150</w:t>
            </w:r>
          </w:p>
        </w:tc>
        <w:tc>
          <w:tcPr>
            <w:tcW w:type="dxa" w:w="48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Flagship site. Perfect first node: guaranteed nutrient load from entire Mississippi Basin, cheap land, cheap labor, easy permitting, major visibility as proof-of-concept.</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2</w:t>
            </w:r>
          </w:p>
        </w:tc>
        <w:tc>
          <w:tcPr>
            <w:tcW w:type="dxa" w:w="2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Cairo, Illinois</w:t>
            </w:r>
          </w:p>
        </w:tc>
        <w:tc>
          <w:tcPr>
            <w:tcW w:type="dxa" w:w="9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114/150</w:t>
            </w:r>
          </w:p>
        </w:tc>
        <w:tc>
          <w:tcPr>
            <w:tcW w:type="dxa" w:w="48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Sits at the exact confluence of the Ohio and Mississippi Rivers, capturing nutrient loads from two of the largest river systems in North America simultaneously.</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3</w:t>
            </w:r>
          </w:p>
        </w:tc>
        <w:tc>
          <w:tcPr>
            <w:tcW w:type="dxa" w:w="2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Pine Bluff, Arkansas</w:t>
            </w:r>
          </w:p>
        </w:tc>
        <w:tc>
          <w:tcPr>
            <w:tcW w:type="dxa" w:w="9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109/150</w:t>
            </w:r>
          </w:p>
        </w:tc>
        <w:tc>
          <w:tcPr>
            <w:tcW w:type="dxa" w:w="48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Strong Arkansas River nutrient load. Supportive regional development environment. Close to Memphis hub logistics.</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4</w:t>
            </w:r>
          </w:p>
        </w:tc>
        <w:tc>
          <w:tcPr>
            <w:tcW w:type="dxa" w:w="2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Natchez-Vidalia, MS-LA</w:t>
            </w:r>
          </w:p>
        </w:tc>
        <w:tc>
          <w:tcPr>
            <w:tcW w:type="dxa" w:w="9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108/150</w:t>
            </w:r>
          </w:p>
        </w:tc>
        <w:tc>
          <w:tcPr>
            <w:tcW w:type="dxa" w:w="48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Deep South climate advantage. Strong nutrient density from multiple bayou and tributary systems. Bi-state opportunity zone.</w:t>
            </w:r>
          </w:p>
        </w:tc>
      </w:tr>
      <w:tr>
        <w:tc>
          <w:tcPr>
            <w:tcW w:type="dxa" w:w="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5</w:t>
            </w:r>
          </w:p>
        </w:tc>
        <w:tc>
          <w:tcPr>
            <w:tcW w:type="dxa" w:w="2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Tulsa, Oklahoma</w:t>
            </w:r>
          </w:p>
        </w:tc>
        <w:tc>
          <w:tcPr>
            <w:tcW w:type="dxa" w:w="9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97/150</w:t>
            </w:r>
          </w:p>
        </w:tc>
        <w:tc>
          <w:tcPr>
            <w:tcW w:type="dxa" w:w="48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Arkansas River primary corridor. Strong tribal partnership opportunity (Cherokee Nation). Gateway to southern plains expansion.</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Bright Meadow Group, "RRP Site Selection Methodology." CF/BMG Internal, 2025.</w:t>
      </w:r>
    </w:p>
    <w:p>
      <w:pPr>
        <w:spacing w:before="40" w:after="40"/>
        <w:ind w:left="360"/>
      </w:pPr>
      <w:r>
        <w:rPr>
          <w:rFonts w:ascii="Arial" w:cs="Arial" w:eastAsia="Arial" w:hAnsi="Arial"/>
          <w:i/>
          <w:iCs/>
          <w:color w:val="666666"/>
          <w:sz w:val="20"/>
          <w:szCs w:val="20"/>
        </w:rPr>
        <w:t xml:space="preserve">2. Bright Meadow Group, "RRPa — Site Selection Matrix," Version 2.0. CF/BMG, 01 April 2026.</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8"/>
              <w:left w:val="none" w:color="FFFFFF" w:sz="0"/>
              <w:bottom w:val="single" w:color="1F4E79" w:sz="8"/>
              <w:right w:val="none" w:color="FFFFFF" w:sz="0"/>
            </w:tcBorders>
            <w:shd w:fill="1F4E79" w:val="clear"/>
            <w:tcMar>
              <w:top w:type="dxa" w:w="160"/>
              <w:left w:type="dxa" w:w="240"/>
              <w:bottom w:type="dxa" w:w="160"/>
              <w:right w:type="dxa" w:w="240"/>
            </w:tcMar>
          </w:tcPr>
          <w:p>
            <w:pPr>
              <w:spacing w:before="0" w:after="60"/>
            </w:pPr>
            <w:r>
              <w:rPr>
                <w:rFonts w:ascii="Arial" w:cs="Arial" w:eastAsia="Arial" w:hAnsi="Arial"/>
                <w:color w:val="AACCEE"/>
                <w:sz w:val="20"/>
                <w:szCs w:val="20"/>
              </w:rPr>
              <w:t xml:space="preserve">Appendix D  |  RRP0002-AppD</w:t>
            </w:r>
          </w:p>
          <w:p>
            <w:pPr>
              <w:spacing w:before="0" w:after="0"/>
            </w:pPr>
            <w:r>
              <w:rPr>
                <w:rFonts w:ascii="Arial" w:cs="Arial" w:eastAsia="Arial" w:hAnsi="Arial"/>
                <w:b/>
                <w:bCs/>
                <w:color w:val="FFFFFF"/>
                <w:sz w:val="36"/>
                <w:szCs w:val="36"/>
              </w:rPr>
              <w:t xml:space="preserve">Master Glossary</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B" w:val="clear"/>
            <w:tcMar>
              <w:top w:type="dxa" w:w="120"/>
              <w:left w:type="dxa" w:w="180"/>
              <w:bottom w:type="dxa" w:w="120"/>
              <w:right w:type="dxa" w:w="180"/>
            </w:tcMar>
          </w:tcPr>
          <w:p>
            <w:pPr>
              <w:spacing w:before="0" w:after="60"/>
            </w:pPr>
            <w:r>
              <w:rPr>
                <w:rFonts w:ascii="Arial" w:cs="Arial" w:eastAsia="Arial" w:hAnsi="Arial"/>
                <w:b/>
                <w:bCs/>
                <w:color w:val="1F4E79"/>
                <w:sz w:val="22"/>
                <w:szCs w:val="22"/>
              </w:rPr>
              <w:t xml:space="preserve">Abstract</w:t>
            </w:r>
          </w:p>
          <w:p>
            <w:pPr>
              <w:spacing w:before="0" w:after="0"/>
            </w:pPr>
            <w:r>
              <w:rPr>
                <w:rFonts w:ascii="Arial" w:cs="Arial" w:eastAsia="Arial" w:hAnsi="Arial"/>
                <w:i/>
                <w:iCs/>
                <w:sz w:val="22"/>
                <w:szCs w:val="22"/>
              </w:rPr>
              <w:t xml:space="preserve">This glossary defines all essential terms, processes, and concepts used throughout the RRP whitepaper series. Written for clarity, precision, and broad accessibility while maintaining technical accuracy. Audience: policymakers, community members, investors, tribal officials, and non-engineers encountering RRP documentation for the first time.</w:t>
            </w:r>
          </w:p>
        </w:tc>
      </w:tr>
    </w:tbl>
    <w:p>
      <w:pPr>
        <w:spacing w:before="120" w:after="0"/>
      </w:pPr>
      <w:r>
        <w:t xml:space="preserve"/>
      </w:r>
    </w:p>
    <w:p>
      <w:pPr>
        <w:pStyle w:val="Heading2"/>
        <w:spacing w:before="300" w:after="120"/>
      </w:pPr>
      <w:r>
        <w:rPr>
          <w:rFonts w:ascii="Arial" w:cs="Arial" w:eastAsia="Arial" w:hAnsi="Arial"/>
          <w:b/>
          <w:bCs/>
          <w:color w:val="2E75B6"/>
          <w:sz w:val="28"/>
          <w:szCs w:val="28"/>
        </w:rPr>
        <w:t xml:space="preserve">A. Core System Concepts</w:t>
      </w:r>
    </w:p>
    <w:p>
      <w:pPr>
        <w:spacing w:before="120" w:after="30"/>
      </w:pPr>
      <w:r>
        <w:rPr>
          <w:rFonts w:ascii="Arial" w:cs="Arial" w:eastAsia="Arial" w:hAnsi="Arial"/>
          <w:b/>
          <w:bCs/>
          <w:color w:val="1F4E79"/>
          <w:sz w:val="22"/>
          <w:szCs w:val="22"/>
        </w:rPr>
        <w:t xml:space="preserve">River Refugium Project (RRP)</w:t>
      </w:r>
    </w:p>
    <w:p>
      <w:pPr>
        <w:spacing w:before="0" w:after="80"/>
        <w:ind w:left="360"/>
      </w:pPr>
      <w:r>
        <w:rPr>
          <w:rFonts w:ascii="Arial" w:cs="Arial" w:eastAsia="Arial" w:hAnsi="Arial"/>
          <w:sz w:val="22"/>
          <w:szCs w:val="22"/>
        </w:rPr>
        <w:t xml:space="preserve">A modular environmental engineering system that cleans nutrient-rich river water, produces usable biomass, generates carbon-negative materials, and supports economic development — all while publishing open, real-time environmental data.</w:t>
      </w:r>
    </w:p>
    <w:p>
      <w:pPr>
        <w:spacing w:before="120" w:after="30"/>
      </w:pPr>
      <w:r>
        <w:rPr>
          <w:rFonts w:ascii="Arial" w:cs="Arial" w:eastAsia="Arial" w:hAnsi="Arial"/>
          <w:b/>
          <w:bCs/>
          <w:color w:val="1F4E79"/>
          <w:sz w:val="22"/>
          <w:szCs w:val="22"/>
        </w:rPr>
        <w:t xml:space="preserve">Node</w:t>
      </w:r>
    </w:p>
    <w:p>
      <w:pPr>
        <w:spacing w:before="0" w:after="80"/>
        <w:ind w:left="360"/>
      </w:pPr>
      <w:r>
        <w:rPr>
          <w:rFonts w:ascii="Arial" w:cs="Arial" w:eastAsia="Arial" w:hAnsi="Arial"/>
          <w:sz w:val="22"/>
          <w:szCs w:val="22"/>
        </w:rPr>
        <w:t xml:space="preserve">A full RRP installation, typically built on 100 acres, containing greenhouses, biofiltration systems, routing grids, thermochemical processors (Model A only), and support systems.</w:t>
      </w:r>
    </w:p>
    <w:p>
      <w:pPr>
        <w:spacing w:before="120" w:after="30"/>
      </w:pPr>
      <w:r>
        <w:rPr>
          <w:rFonts w:ascii="Arial" w:cs="Arial" w:eastAsia="Arial" w:hAnsi="Arial"/>
          <w:b/>
          <w:bCs/>
          <w:color w:val="1F4E79"/>
          <w:sz w:val="22"/>
          <w:szCs w:val="22"/>
        </w:rPr>
        <w:t xml:space="preserve">Grow Unit</w:t>
      </w:r>
    </w:p>
    <w:p>
      <w:pPr>
        <w:spacing w:before="0" w:after="80"/>
        <w:ind w:left="360"/>
      </w:pPr>
      <w:r>
        <w:rPr>
          <w:rFonts w:ascii="Arial" w:cs="Arial" w:eastAsia="Arial" w:hAnsi="Arial"/>
          <w:sz w:val="22"/>
          <w:szCs w:val="22"/>
        </w:rPr>
        <w:t xml:space="preserve">The modular production cell of an RRP node — one complete set of 13 production greenhouses, one evaporation greenhouse, biofiltration train, cistern, routing grid, and biomass preparation module. A 100-acre node contains 14–15 grow units.</w:t>
      </w:r>
    </w:p>
    <w:p>
      <w:pPr>
        <w:spacing w:before="120" w:after="30"/>
      </w:pPr>
      <w:r>
        <w:rPr>
          <w:rFonts w:ascii="Arial" w:cs="Arial" w:eastAsia="Arial" w:hAnsi="Arial"/>
          <w:b/>
          <w:bCs/>
          <w:color w:val="1F4E79"/>
          <w:sz w:val="22"/>
          <w:szCs w:val="22"/>
        </w:rPr>
        <w:t xml:space="preserve">Pilot Unit</w:t>
      </w:r>
    </w:p>
    <w:p>
      <w:pPr>
        <w:spacing w:before="0" w:after="80"/>
        <w:ind w:left="360"/>
      </w:pPr>
      <w:r>
        <w:rPr>
          <w:rFonts w:ascii="Arial" w:cs="Arial" w:eastAsia="Arial" w:hAnsi="Arial"/>
          <w:sz w:val="22"/>
          <w:szCs w:val="22"/>
        </w:rPr>
        <w:t xml:space="preserve">A single full-scale grow unit deployed to demonstrate system functionality and — critically — to generate the yield, uptake, and performance data that calibrates the financial model for all subsequent nodes. The pilot is not a prototype. It is a measurement instrument.</w:t>
      </w:r>
    </w:p>
    <w:p>
      <w:pPr>
        <w:spacing w:before="120" w:after="30"/>
      </w:pPr>
      <w:r>
        <w:rPr>
          <w:rFonts w:ascii="Arial" w:cs="Arial" w:eastAsia="Arial" w:hAnsi="Arial"/>
          <w:b/>
          <w:bCs/>
          <w:color w:val="1F4E79"/>
          <w:sz w:val="22"/>
          <w:szCs w:val="22"/>
        </w:rPr>
        <w:t xml:space="preserve">Model A / Model B</w:t>
      </w:r>
    </w:p>
    <w:p>
      <w:pPr>
        <w:spacing w:before="0" w:after="80"/>
        <w:ind w:left="360"/>
      </w:pPr>
      <w:r>
        <w:rPr>
          <w:rFonts w:ascii="Arial" w:cs="Arial" w:eastAsia="Arial" w:hAnsi="Arial"/>
          <w:sz w:val="22"/>
          <w:szCs w:val="22"/>
        </w:rPr>
        <w:t xml:space="preserve">Model A: an integrated node with an on-site HTC/HTL thermochemical processing plant. Model B: a distributed biological node that harvests and transports biomass to a regional Model A hub for processing. The hub-and-spoke cluster — one Model A hub plus 5–10 Model B satellites — is the standard operating configuration.</w:t>
      </w:r>
    </w:p>
    <w:p>
      <w:pPr>
        <w:pStyle w:val="Heading2"/>
        <w:spacing w:before="300" w:after="120"/>
      </w:pPr>
      <w:r>
        <w:rPr>
          <w:rFonts w:ascii="Arial" w:cs="Arial" w:eastAsia="Arial" w:hAnsi="Arial"/>
          <w:b/>
          <w:bCs/>
          <w:color w:val="2E75B6"/>
          <w:sz w:val="28"/>
          <w:szCs w:val="28"/>
        </w:rPr>
        <w:t xml:space="preserve">B. Water &amp; Hydrology</w:t>
      </w:r>
    </w:p>
    <w:p>
      <w:pPr>
        <w:spacing w:before="120" w:after="30"/>
      </w:pPr>
      <w:r>
        <w:rPr>
          <w:rFonts w:ascii="Arial" w:cs="Arial" w:eastAsia="Arial" w:hAnsi="Arial"/>
          <w:b/>
          <w:bCs/>
          <w:color w:val="1F4E79"/>
          <w:sz w:val="22"/>
          <w:szCs w:val="22"/>
        </w:rPr>
        <w:t xml:space="preserve">Nutrient Load</w:t>
      </w:r>
    </w:p>
    <w:p>
      <w:pPr>
        <w:spacing w:before="0" w:after="80"/>
        <w:ind w:left="360"/>
      </w:pPr>
      <w:r>
        <w:rPr>
          <w:rFonts w:ascii="Arial" w:cs="Arial" w:eastAsia="Arial" w:hAnsi="Arial"/>
          <w:sz w:val="22"/>
          <w:szCs w:val="22"/>
        </w:rPr>
        <w:t xml:space="preserve">The concentration of nitrogen, phosphorus, and organic material carried by river water. High nutrient load equals ideal RRP feedstock.</w:t>
      </w:r>
    </w:p>
    <w:p>
      <w:pPr>
        <w:spacing w:before="120" w:after="30"/>
      </w:pPr>
      <w:r>
        <w:rPr>
          <w:rFonts w:ascii="Arial" w:cs="Arial" w:eastAsia="Arial" w:hAnsi="Arial"/>
          <w:b/>
          <w:bCs/>
          <w:color w:val="1F4E79"/>
          <w:sz w:val="22"/>
          <w:szCs w:val="22"/>
        </w:rPr>
        <w:t xml:space="preserve">Suspended Solids (TSS)</w:t>
      </w:r>
    </w:p>
    <w:p>
      <w:pPr>
        <w:spacing w:before="0" w:after="80"/>
        <w:ind w:left="360"/>
      </w:pPr>
      <w:r>
        <w:rPr>
          <w:rFonts w:ascii="Arial" w:cs="Arial" w:eastAsia="Arial" w:hAnsi="Arial"/>
          <w:sz w:val="22"/>
          <w:szCs w:val="22"/>
        </w:rPr>
        <w:t xml:space="preserve">Particles floating in water, including organic matter, soil, and silt. The RRP captures these as biomass input.</w:t>
      </w:r>
    </w:p>
    <w:p>
      <w:pPr>
        <w:spacing w:before="120" w:after="30"/>
      </w:pPr>
      <w:r>
        <w:rPr>
          <w:rFonts w:ascii="Arial" w:cs="Arial" w:eastAsia="Arial" w:hAnsi="Arial"/>
          <w:b/>
          <w:bCs/>
          <w:color w:val="1F4E79"/>
          <w:sz w:val="22"/>
          <w:szCs w:val="22"/>
        </w:rPr>
        <w:t xml:space="preserve">Hydraulic Residence Time (HRT)</w:t>
      </w:r>
    </w:p>
    <w:p>
      <w:pPr>
        <w:spacing w:before="0" w:after="80"/>
        <w:ind w:left="360"/>
      </w:pPr>
      <w:r>
        <w:rPr>
          <w:rFonts w:ascii="Arial" w:cs="Arial" w:eastAsia="Arial" w:hAnsi="Arial"/>
          <w:sz w:val="22"/>
          <w:szCs w:val="22"/>
        </w:rPr>
        <w:t xml:space="preserve">The average time water spends in a treatment stage. Longer HRT generally means more complete nutrient processing.</w:t>
      </w:r>
    </w:p>
    <w:p>
      <w:pPr>
        <w:spacing w:before="120" w:after="30"/>
      </w:pPr>
      <w:r>
        <w:rPr>
          <w:rFonts w:ascii="Arial" w:cs="Arial" w:eastAsia="Arial" w:hAnsi="Arial"/>
          <w:b/>
          <w:bCs/>
          <w:color w:val="1F4E79"/>
          <w:sz w:val="22"/>
          <w:szCs w:val="22"/>
        </w:rPr>
        <w:t xml:space="preserve">Confluence</w:t>
      </w:r>
    </w:p>
    <w:p>
      <w:pPr>
        <w:spacing w:before="0" w:after="80"/>
        <w:ind w:left="360"/>
      </w:pPr>
      <w:r>
        <w:rPr>
          <w:rFonts w:ascii="Arial" w:cs="Arial" w:eastAsia="Arial" w:hAnsi="Arial"/>
          <w:sz w:val="22"/>
          <w:szCs w:val="22"/>
        </w:rPr>
        <w:t xml:space="preserve">Where two rivers meet. Confluences are nutrient-dense and ideal for RRP node placement.</w:t>
      </w:r>
    </w:p>
    <w:p>
      <w:pPr>
        <w:pStyle w:val="Heading2"/>
        <w:spacing w:before="300" w:after="120"/>
      </w:pPr>
      <w:r>
        <w:rPr>
          <w:rFonts w:ascii="Arial" w:cs="Arial" w:eastAsia="Arial" w:hAnsi="Arial"/>
          <w:b/>
          <w:bCs/>
          <w:color w:val="2E75B6"/>
          <w:sz w:val="28"/>
          <w:szCs w:val="28"/>
        </w:rPr>
        <w:t xml:space="preserve">C. Biological &amp; Greenhouse Terms</w:t>
      </w:r>
    </w:p>
    <w:p>
      <w:pPr>
        <w:spacing w:before="120" w:after="30"/>
      </w:pPr>
      <w:r>
        <w:rPr>
          <w:rFonts w:ascii="Arial" w:cs="Arial" w:eastAsia="Arial" w:hAnsi="Arial"/>
          <w:b/>
          <w:bCs/>
          <w:color w:val="1F4E79"/>
          <w:sz w:val="22"/>
          <w:szCs w:val="22"/>
        </w:rPr>
        <w:t xml:space="preserve">Biomass</w:t>
      </w:r>
    </w:p>
    <w:p>
      <w:pPr>
        <w:spacing w:before="0" w:after="80"/>
        <w:ind w:left="360"/>
      </w:pPr>
      <w:r>
        <w:rPr>
          <w:rFonts w:ascii="Arial" w:cs="Arial" w:eastAsia="Arial" w:hAnsi="Arial"/>
          <w:sz w:val="22"/>
          <w:szCs w:val="22"/>
        </w:rPr>
        <w:t xml:space="preserve">Organic material grown in the RRP greenhouses — algae, aquatic plants, fibrous grasses. Used for fuel, materials, carbon storage, and industrial pathways.</w:t>
      </w:r>
    </w:p>
    <w:p>
      <w:pPr>
        <w:spacing w:before="120" w:after="30"/>
      </w:pPr>
      <w:r>
        <w:rPr>
          <w:rFonts w:ascii="Arial" w:cs="Arial" w:eastAsia="Arial" w:hAnsi="Arial"/>
          <w:b/>
          <w:bCs/>
          <w:color w:val="1F4E79"/>
          <w:sz w:val="22"/>
          <w:szCs w:val="22"/>
        </w:rPr>
        <w:t xml:space="preserve">Routing Grid</w:t>
      </w:r>
    </w:p>
    <w:p>
      <w:pPr>
        <w:spacing w:before="0" w:after="80"/>
        <w:ind w:left="360"/>
      </w:pPr>
      <w:r>
        <w:rPr>
          <w:rFonts w:ascii="Arial" w:cs="Arial" w:eastAsia="Arial" w:hAnsi="Arial"/>
          <w:sz w:val="22"/>
          <w:szCs w:val="22"/>
        </w:rPr>
        <w:t xml:space="preserve">The PLC-controlled system of pipes and valves that directs different nutrient concentrations to the greenhouses that can best utilize them.</w:t>
      </w:r>
    </w:p>
    <w:p>
      <w:pPr>
        <w:spacing w:before="120" w:after="30"/>
      </w:pPr>
      <w:r>
        <w:rPr>
          <w:rFonts w:ascii="Arial" w:cs="Arial" w:eastAsia="Arial" w:hAnsi="Arial"/>
          <w:b/>
          <w:bCs/>
          <w:color w:val="1F4E79"/>
          <w:sz w:val="22"/>
          <w:szCs w:val="22"/>
        </w:rPr>
        <w:t xml:space="preserve">Modular Slot Framework</w:t>
      </w:r>
    </w:p>
    <w:p>
      <w:pPr>
        <w:spacing w:before="0" w:after="80"/>
        <w:ind w:left="360"/>
      </w:pPr>
      <w:r>
        <w:rPr>
          <w:rFonts w:ascii="Arial" w:cs="Arial" w:eastAsia="Arial" w:hAnsi="Arial"/>
          <w:sz w:val="22"/>
          <w:szCs w:val="22"/>
        </w:rPr>
        <w:t xml:space="preserve">The financial modeling structure that treats each greenhouse as a standardized production slot with defined biomass output and nutrient uptake parameters, regardless of which specific crop fills it. Allows consistent projections across all deployment scenarios pending pilot data.</w:t>
      </w:r>
    </w:p>
    <w:p>
      <w:pPr>
        <w:pStyle w:val="Heading2"/>
        <w:spacing w:before="300" w:after="120"/>
      </w:pPr>
      <w:r>
        <w:rPr>
          <w:rFonts w:ascii="Arial" w:cs="Arial" w:eastAsia="Arial" w:hAnsi="Arial"/>
          <w:b/>
          <w:bCs/>
          <w:color w:val="2E75B6"/>
          <w:sz w:val="28"/>
          <w:szCs w:val="28"/>
        </w:rPr>
        <w:t xml:space="preserve">D. Thermochemical &amp; Energy Terms</w:t>
      </w:r>
    </w:p>
    <w:p>
      <w:pPr>
        <w:spacing w:before="120" w:after="30"/>
      </w:pPr>
      <w:r>
        <w:rPr>
          <w:rFonts w:ascii="Arial" w:cs="Arial" w:eastAsia="Arial" w:hAnsi="Arial"/>
          <w:b/>
          <w:bCs/>
          <w:color w:val="1F4E79"/>
          <w:sz w:val="22"/>
          <w:szCs w:val="22"/>
        </w:rPr>
        <w:t xml:space="preserve">HTC (Hydrothermal Carbonization)</w:t>
      </w:r>
    </w:p>
    <w:p>
      <w:pPr>
        <w:spacing w:before="0" w:after="80"/>
        <w:ind w:left="360"/>
      </w:pPr>
      <w:r>
        <w:rPr>
          <w:rFonts w:ascii="Arial" w:cs="Arial" w:eastAsia="Arial" w:hAnsi="Arial"/>
          <w:sz w:val="22"/>
          <w:szCs w:val="22"/>
        </w:rPr>
        <w:t xml:space="preserve">A process that converts wet biomass into hydrochar at 180–250°C and 2–10 MPa. Outputs: solid hydrochar, nutrient-rich aqueous phase, and off-gases.</w:t>
      </w:r>
    </w:p>
    <w:p>
      <w:pPr>
        <w:spacing w:before="120" w:after="30"/>
      </w:pPr>
      <w:r>
        <w:rPr>
          <w:rFonts w:ascii="Arial" w:cs="Arial" w:eastAsia="Arial" w:hAnsi="Arial"/>
          <w:b/>
          <w:bCs/>
          <w:color w:val="1F4E79"/>
          <w:sz w:val="22"/>
          <w:szCs w:val="22"/>
        </w:rPr>
        <w:t xml:space="preserve">HTL (Hydrothermal Liquefaction)</w:t>
      </w:r>
    </w:p>
    <w:p>
      <w:pPr>
        <w:spacing w:before="0" w:after="80"/>
        <w:ind w:left="360"/>
      </w:pPr>
      <w:r>
        <w:rPr>
          <w:rFonts w:ascii="Arial" w:cs="Arial" w:eastAsia="Arial" w:hAnsi="Arial"/>
          <w:sz w:val="22"/>
          <w:szCs w:val="22"/>
        </w:rPr>
        <w:t xml:space="preserve">A higher-temperature process (280–370°C, 10–25 MPa) that converts wet biomass into bio-oil. Preferred for high-lipid feedstocks such as algae.</w:t>
      </w:r>
    </w:p>
    <w:p>
      <w:pPr>
        <w:spacing w:before="120" w:after="30"/>
      </w:pPr>
      <w:r>
        <w:rPr>
          <w:rFonts w:ascii="Arial" w:cs="Arial" w:eastAsia="Arial" w:hAnsi="Arial"/>
          <w:b/>
          <w:bCs/>
          <w:color w:val="1F4E79"/>
          <w:sz w:val="22"/>
          <w:szCs w:val="22"/>
        </w:rPr>
        <w:t xml:space="preserve">Hydrochar</w:t>
      </w:r>
    </w:p>
    <w:p>
      <w:pPr>
        <w:spacing w:before="0" w:after="80"/>
        <w:ind w:left="360"/>
      </w:pPr>
      <w:r>
        <w:rPr>
          <w:rFonts w:ascii="Arial" w:cs="Arial" w:eastAsia="Arial" w:hAnsi="Arial"/>
          <w:sz w:val="22"/>
          <w:szCs w:val="22"/>
        </w:rPr>
        <w:t xml:space="preserve">Carbon-rich solid output of HTC. Functions as a soil amendment, filtration medium, activated carbon precursor, and carbon-sequestration instrument generating carbon credits.</w:t>
      </w:r>
    </w:p>
    <w:p>
      <w:pPr>
        <w:spacing w:before="120" w:after="30"/>
      </w:pPr>
      <w:r>
        <w:rPr>
          <w:rFonts w:ascii="Arial" w:cs="Arial" w:eastAsia="Arial" w:hAnsi="Arial"/>
          <w:b/>
          <w:bCs/>
          <w:color w:val="1F4E79"/>
          <w:sz w:val="22"/>
          <w:szCs w:val="22"/>
        </w:rPr>
        <w:t xml:space="preserve">Thermal Loop</w:t>
      </w:r>
    </w:p>
    <w:p>
      <w:pPr>
        <w:spacing w:before="0" w:after="80"/>
        <w:ind w:left="360"/>
      </w:pPr>
      <w:r>
        <w:rPr>
          <w:rFonts w:ascii="Arial" w:cs="Arial" w:eastAsia="Arial" w:hAnsi="Arial"/>
          <w:sz w:val="22"/>
          <w:szCs w:val="22"/>
        </w:rPr>
        <w:t xml:space="preserve">The cycle that captures waste heat from HTC/HTL reactors and reuses it to warm greenhouses. No external heating or cooling energy is purchased under normal operating conditions.</w:t>
      </w:r>
    </w:p>
    <w:p>
      <w:pPr>
        <w:pStyle w:val="Heading2"/>
        <w:spacing w:before="300" w:after="120"/>
      </w:pPr>
      <w:r>
        <w:rPr>
          <w:rFonts w:ascii="Arial" w:cs="Arial" w:eastAsia="Arial" w:hAnsi="Arial"/>
          <w:b/>
          <w:bCs/>
          <w:color w:val="2E75B6"/>
          <w:sz w:val="28"/>
          <w:szCs w:val="28"/>
        </w:rPr>
        <w:t xml:space="preserve">E. Environmental &amp; Regulatory Terms</w:t>
      </w:r>
    </w:p>
    <w:p>
      <w:pPr>
        <w:spacing w:before="120" w:after="30"/>
      </w:pPr>
      <w:r>
        <w:rPr>
          <w:rFonts w:ascii="Arial" w:cs="Arial" w:eastAsia="Arial" w:hAnsi="Arial"/>
          <w:b/>
          <w:bCs/>
          <w:color w:val="1F4E79"/>
          <w:sz w:val="22"/>
          <w:szCs w:val="22"/>
        </w:rPr>
        <w:t xml:space="preserve">Gulf Hypoxia Zone</w:t>
      </w:r>
    </w:p>
    <w:p>
      <w:pPr>
        <w:spacing w:before="0" w:after="80"/>
        <w:ind w:left="360"/>
      </w:pPr>
      <w:r>
        <w:rPr>
          <w:rFonts w:ascii="Arial" w:cs="Arial" w:eastAsia="Arial" w:hAnsi="Arial"/>
          <w:sz w:val="22"/>
          <w:szCs w:val="22"/>
        </w:rPr>
        <w:t xml:space="preserve">A large area in the Gulf of Mexico with insufficient oxygen to support marine life, caused by excess nutrients from the Mississippi River Basin. The RRP reduces upstream nutrient loads contributing to this zone.</w:t>
      </w:r>
    </w:p>
    <w:p>
      <w:pPr>
        <w:spacing w:before="120" w:after="30"/>
      </w:pPr>
      <w:r>
        <w:rPr>
          <w:rFonts w:ascii="Arial" w:cs="Arial" w:eastAsia="Arial" w:hAnsi="Arial"/>
          <w:b/>
          <w:bCs/>
          <w:color w:val="1F4E79"/>
          <w:sz w:val="22"/>
          <w:szCs w:val="22"/>
        </w:rPr>
        <w:t xml:space="preserve">Nutrient Trading Credits</w:t>
      </w:r>
    </w:p>
    <w:p>
      <w:pPr>
        <w:spacing w:before="0" w:after="80"/>
        <w:ind w:left="360"/>
      </w:pPr>
      <w:r>
        <w:rPr>
          <w:rFonts w:ascii="Arial" w:cs="Arial" w:eastAsia="Arial" w:hAnsi="Arial"/>
          <w:sz w:val="22"/>
          <w:szCs w:val="22"/>
        </w:rPr>
        <w:t xml:space="preserve">Environmental credits issued for reducing nitrogen or phosphorus pollution in a watershed. The dominant revenue line in the RRP operating model. Performance-based and verified by open sensor data.</w:t>
      </w:r>
    </w:p>
    <w:p>
      <w:pPr>
        <w:spacing w:before="120" w:after="30"/>
      </w:pPr>
      <w:r>
        <w:rPr>
          <w:rFonts w:ascii="Arial" w:cs="Arial" w:eastAsia="Arial" w:hAnsi="Arial"/>
          <w:b/>
          <w:bCs/>
          <w:color w:val="1F4E79"/>
          <w:sz w:val="22"/>
          <w:szCs w:val="22"/>
        </w:rPr>
        <w:t xml:space="preserve">Carbon Credits</w:t>
      </w:r>
    </w:p>
    <w:p>
      <w:pPr>
        <w:spacing w:before="0" w:after="80"/>
        <w:ind w:left="360"/>
      </w:pPr>
      <w:r>
        <w:rPr>
          <w:rFonts w:ascii="Arial" w:cs="Arial" w:eastAsia="Arial" w:hAnsi="Arial"/>
          <w:sz w:val="22"/>
          <w:szCs w:val="22"/>
        </w:rPr>
        <w:t xml:space="preserve">Financial credits for reducing or sequestering carbon emissions. RRP generates these from hydrochar permanence, energy-efficiency improvements, and avoided downstream hypoxia emissions.</w:t>
      </w:r>
    </w:p>
    <w:p>
      <w:pPr>
        <w:spacing w:before="120" w:after="30"/>
      </w:pPr>
      <w:r>
        <w:rPr>
          <w:rFonts w:ascii="Arial" w:cs="Arial" w:eastAsia="Arial" w:hAnsi="Arial"/>
          <w:b/>
          <w:bCs/>
          <w:color w:val="1F4E79"/>
          <w:sz w:val="22"/>
          <w:szCs w:val="22"/>
        </w:rPr>
        <w:t xml:space="preserve">SCADA / PLC</w:t>
      </w:r>
    </w:p>
    <w:p>
      <w:pPr>
        <w:spacing w:before="0" w:after="80"/>
        <w:ind w:left="360"/>
      </w:pPr>
      <w:r>
        <w:rPr>
          <w:rFonts w:ascii="Arial" w:cs="Arial" w:eastAsia="Arial" w:hAnsi="Arial"/>
          <w:sz w:val="22"/>
          <w:szCs w:val="22"/>
        </w:rPr>
        <w:t xml:space="preserve">SCADA (Supervisory Control and Data Acquisition): the digital oversight system monitoring pumps, valves, sensors, and reactors. PLC (Programmable Logic Controller): industrial control computers running automated processes and safety protocols within the RRP.</w:t>
      </w:r>
    </w:p>
    <w:p>
      <w:pPr>
        <w:pStyle w:val="Heading2"/>
        <w:spacing w:before="300" w:after="120"/>
      </w:pPr>
      <w:r>
        <w:rPr>
          <w:rFonts w:ascii="Arial" w:cs="Arial" w:eastAsia="Arial" w:hAnsi="Arial"/>
          <w:b/>
          <w:bCs/>
          <w:color w:val="2E75B6"/>
          <w:sz w:val="28"/>
          <w:szCs w:val="28"/>
        </w:rPr>
        <w:t xml:space="preserve">F. Financial Terms</w:t>
      </w:r>
    </w:p>
    <w:p>
      <w:pPr>
        <w:spacing w:before="120" w:after="30"/>
      </w:pPr>
      <w:r>
        <w:rPr>
          <w:rFonts w:ascii="Arial" w:cs="Arial" w:eastAsia="Arial" w:hAnsi="Arial"/>
          <w:b/>
          <w:bCs/>
          <w:color w:val="1F4E79"/>
          <w:sz w:val="22"/>
          <w:szCs w:val="22"/>
        </w:rPr>
        <w:t xml:space="preserve">EBITDA</w:t>
      </w:r>
    </w:p>
    <w:p>
      <w:pPr>
        <w:spacing w:before="0" w:after="80"/>
        <w:ind w:left="360"/>
      </w:pPr>
      <w:r>
        <w:rPr>
          <w:rFonts w:ascii="Arial" w:cs="Arial" w:eastAsia="Arial" w:hAnsi="Arial"/>
          <w:sz w:val="22"/>
          <w:szCs w:val="22"/>
        </w:rPr>
        <w:t xml:space="preserve">Earnings Before Interest, Taxes, Depreciation, and Amortization. The operating profitability measure used to evaluate RRP node performance before capital structure effects.</w:t>
      </w:r>
    </w:p>
    <w:p>
      <w:pPr>
        <w:spacing w:before="120" w:after="30"/>
      </w:pPr>
      <w:r>
        <w:rPr>
          <w:rFonts w:ascii="Arial" w:cs="Arial" w:eastAsia="Arial" w:hAnsi="Arial"/>
          <w:b/>
          <w:bCs/>
          <w:color w:val="1F4E79"/>
          <w:sz w:val="22"/>
          <w:szCs w:val="22"/>
        </w:rPr>
        <w:t xml:space="preserve">Stress Test / Operating Model / Best Case</w:t>
      </w:r>
    </w:p>
    <w:p>
      <w:pPr>
        <w:spacing w:before="0" w:after="80"/>
        <w:ind w:left="360"/>
      </w:pPr>
      <w:r>
        <w:rPr>
          <w:rFonts w:ascii="Arial" w:cs="Arial" w:eastAsia="Arial" w:hAnsi="Arial"/>
          <w:sz w:val="22"/>
          <w:szCs w:val="22"/>
        </w:rPr>
        <w:t xml:space="preserve">The three financial scenarios used in the RRP Economic Analysis Version 2.0. Stress Test uses floor-market prices and reduced operating capacity. Operating Model uses mid-market prices and the industrial build specification. Best Case uses premium prices, year-round operation, and optimal conditions.</w:t>
      </w:r>
    </w:p>
    <w:p>
      <w:pPr>
        <w:spacing w:before="120" w:after="30"/>
      </w:pPr>
      <w:r>
        <w:rPr>
          <w:rFonts w:ascii="Arial" w:cs="Arial" w:eastAsia="Arial" w:hAnsi="Arial"/>
          <w:b/>
          <w:bCs/>
          <w:color w:val="1F4E79"/>
          <w:sz w:val="22"/>
          <w:szCs w:val="22"/>
        </w:rPr>
        <w:t xml:space="preserve">Provisional (⚑)</w:t>
      </w:r>
    </w:p>
    <w:p>
      <w:pPr>
        <w:spacing w:before="0" w:after="80"/>
        <w:ind w:left="360"/>
      </w:pPr>
      <w:r>
        <w:rPr>
          <w:rFonts w:ascii="Arial" w:cs="Arial" w:eastAsia="Arial" w:hAnsi="Arial"/>
          <w:sz w:val="22"/>
          <w:szCs w:val="22"/>
        </w:rPr>
        <w:t xml:space="preserve">Figures marked ⚑ throughout the RRP document series are provisional academic proxies — sourced from peer-reviewed literature for individual species — pending replacement by measured values from RRP pilot operations. The financial model is built to update automatically when pilot data replaces these estimates.</w:t>
      </w:r>
    </w:p>
    <w:p>
      <w:pPr>
        <w:pStyle w:val="Heading2"/>
        <w:spacing w:before="300" w:after="120"/>
      </w:pPr>
      <w:r>
        <w:rPr>
          <w:rFonts w:ascii="Arial" w:cs="Arial" w:eastAsia="Arial" w:hAnsi="Arial"/>
          <w:b/>
          <w:bCs/>
          <w:color w:val="2E75B6"/>
          <w:sz w:val="28"/>
          <w:szCs w:val="28"/>
        </w:rPr>
        <w:t xml:space="preserve">Notes</w:t>
      </w:r>
    </w:p>
    <w:p>
      <w:pPr>
        <w:spacing w:before="40" w:after="40"/>
        <w:ind w:left="360"/>
      </w:pPr>
      <w:r>
        <w:rPr>
          <w:rFonts w:ascii="Arial" w:cs="Arial" w:eastAsia="Arial" w:hAnsi="Arial"/>
          <w:i/>
          <w:iCs/>
          <w:color w:val="666666"/>
          <w:sz w:val="20"/>
          <w:szCs w:val="20"/>
        </w:rPr>
        <w:t xml:space="preserve">1. Bright Meadow Group, "Master Glossary for Policymakers &amp; Non-Engineers." RRP Document Series, Version 1.0, 2025.</w:t>
      </w:r>
    </w:p>
    <w:p>
      <w:pPr>
        <w:spacing w:before="40" w:after="40"/>
        <w:ind w:left="360"/>
      </w:pPr>
      <w:r>
        <w:rPr>
          <w:rFonts w:ascii="Arial" w:cs="Arial" w:eastAsia="Arial" w:hAnsi="Arial"/>
          <w:i/>
          <w:iCs/>
          <w:color w:val="666666"/>
          <w:sz w:val="20"/>
          <w:szCs w:val="20"/>
        </w:rPr>
        <w:t xml:space="preserve">2. Bright Meadow Group, "RRP Document Series," Version 2.0. CF/BMG, 01 April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F4E79"/>
      <w:sz w:val="36"/>
      <w:szCs w:val="36"/>
    </w:rPr>
  </w:style>
  <w:style w:type="paragraph" w:styleId="Heading2">
    <w:name w:val="Heading 2"/>
    <w:basedOn w:val="Normal"/>
    <w:next w:val="Normal"/>
    <w:qFormat/>
    <w:pPr>
      <w:spacing w:before="300" w:after="120"/>
      <w:outlineLvl w:val="1"/>
    </w:pPr>
    <w:rPr>
      <w:rFonts w:ascii="Arial" w:cs="Arial" w:eastAsia="Arial" w:hAnsi="Arial"/>
      <w:b/>
      <w:bCs/>
      <w:color w:val="2E75B6"/>
      <w:sz w:val="28"/>
      <w:szCs w:val="28"/>
    </w:rPr>
  </w:style>
  <w:style w:type="paragraph" w:styleId="Heading3">
    <w:name w:val="Heading 3"/>
    <w:basedOn w:val="Normal"/>
    <w:next w:val="Normal"/>
    <w:qFormat/>
    <w:pPr>
      <w:spacing w:before="200" w:after="80"/>
      <w:outlineLvl w:val="2"/>
    </w:pPr>
    <w:rPr>
      <w:rFonts w:ascii="Arial" w:cs="Arial" w:eastAsia="Arial" w:hAnsi="Arial"/>
      <w:b/>
      <w:bCs/>
      <w:color w:val="40404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2026-03-24T15:05:21.737Z</dcterms:created>
  <dcterms:modified xsi:type="dcterms:W3CDTF">2026-03-24T15:05:21.738Z</dcterms:modified>
</cp:coreProperties>
</file>

<file path=docProps/custom.xml><?xml version="1.0" encoding="utf-8"?>
<Properties xmlns="http://schemas.openxmlformats.org/officeDocument/2006/custom-properties" xmlns:vt="http://schemas.openxmlformats.org/officeDocument/2006/docPropsVTypes"/>
</file>