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A9E6A" w:sz="24"/>
              <w:bottom w:val="none" w:color="FFFFFF" w:sz="0"/>
              <w:right w:val="none" w:color="FFFFFF" w:sz="0"/>
            </w:tcBorders>
            <w:shd w:fill="E8F2EC" w:val="clear"/>
            <w:tcMar>
              <w:top w:type="dxa" w:w="320"/>
              <w:left w:type="dxa" w:w="400"/>
              <w:bottom w:type="dxa" w:w="320"/>
              <w:right w:type="dxa" w:w="240"/>
            </w:tcMar>
          </w:tcPr>
          <w:p>
            <w:pPr>
              <w:spacing w:after="80" w:before="0"/>
            </w:pPr>
            <w:r>
              <w:rPr>
                <w:rFonts w:ascii="Arial" w:cs="Arial" w:eastAsia="Arial" w:hAnsi="Arial"/>
                <w:b/>
                <w:bCs/>
                <w:color w:val="4A9E6A"/>
                <w:sz w:val="20"/>
                <w:szCs w:val="20"/>
              </w:rPr>
              <w:t xml:space="preserve">OPERATOR BRIEF</w:t>
            </w:r>
          </w:p>
          <w:p>
            <w:pPr>
              <w:spacing w:after="120" w:before="0"/>
            </w:pPr>
            <w:r>
              <w:rPr>
                <w:rFonts w:ascii="Arial" w:cs="Arial" w:eastAsia="Arial" w:hAnsi="Arial"/>
                <w:b/>
                <w:bCs/>
                <w:color w:val="1A3A2A"/>
                <w:sz w:val="40"/>
                <w:szCs w:val="40"/>
              </w:rPr>
              <w:t xml:space="preserve">River Remediation + Resource Recovery System</w:t>
            </w:r>
          </w:p>
          <w:p>
            <w:pPr>
              <w:spacing w:after="80" w:before="0"/>
            </w:pPr>
            <w:r>
              <w:rPr>
                <w:rFonts w:ascii="Arial" w:cs="Arial" w:eastAsia="Arial" w:hAnsi="Arial"/>
                <w:i/>
                <w:iCs/>
                <w:color w:val="2E6B44"/>
                <w:sz w:val="26"/>
                <w:szCs w:val="26"/>
              </w:rPr>
              <w:t xml:space="preserve">Precision Thermal Cycling / REALcycling Framework</w:t>
            </w:r>
          </w:p>
          <w:p>
            <w:pPr>
              <w:spacing w:after="0" w:before="120"/>
            </w:pPr>
            <w:r>
              <w:rPr>
                <w:rFonts w:ascii="Arial" w:cs="Arial" w:eastAsia="Arial" w:hAnsi="Arial"/>
                <w:color w:val="555555"/>
                <w:sz w:val="20"/>
                <w:szCs w:val="20"/>
              </w:rPr>
              <w:t xml:space="preserve">Cernunnos Foundation  |  Bright Meadow Group</w:t>
            </w:r>
          </w:p>
          <w:p>
            <w:pPr>
              <w:spacing w:after="0" w:before="40"/>
            </w:pPr>
            <w:r>
              <w:rPr>
                <w:rFonts w:ascii="Arial" w:cs="Arial" w:eastAsia="Arial" w:hAnsi="Arial"/>
                <w:i/>
                <w:iCs/>
                <w:color w:val="4A9E6A"/>
                <w:sz w:val="18"/>
                <w:szCs w:val="18"/>
              </w:rPr>
              <w:t xml:space="preserve">DRAFT — Pre-Release  |  Not for Public Distribution</w:t>
            </w:r>
          </w:p>
        </w:tc>
      </w:tr>
    </w:tbl>
    <w:p>
      <w:pPr>
        <w:spacing w:after="120" w:before="480"/>
      </w:pPr>
    </w:p>
    <w:p>
      <w:pPr>
        <w:spacing w:after="80" w:before="80"/>
      </w:pPr>
      <w:r>
        <w:rPr>
          <w:rFonts w:ascii="Arial" w:cs="Arial" w:eastAsia="Arial" w:hAnsi="Arial"/>
          <w:b w:val="false"/>
          <w:bCs w:val="false"/>
          <w:i/>
          <w:iCs/>
          <w:color w:val="555555"/>
          <w:sz w:val="22"/>
          <w:szCs w:val="22"/>
        </w:rPr>
        <w:t xml:space="preserve">This brief is intended for operators, site managers, and deployment leads responsible for commissioning and running an RRP node. It covers operational context, system logic, deployment phasing, site selection, performance metrics, failure modes, and the strategic end-state. It is not a technical manual — it is the mental model you need before you turn anything on.</w:t>
      </w:r>
    </w:p>
    <w:p>
      <w:pPr>
        <w:spacing w:after="60" w:before="120"/>
      </w:pPr>
    </w:p>
    <w:p>
      <w:pPr>
        <w:pBdr>
          <w:bottom w:val="single" w:color="4A9E6A" w:sz="8" w:space="1"/>
        </w:pBdr>
        <w:spacing w:after="60" w:before="60"/>
      </w:pPr>
    </w:p>
    <w:p>
      <w:pPr>
        <w:spacing w:after="0" w:before="60"/>
      </w:pPr>
    </w:p>
    <w:p>
      <w:pPr>
        <w:pStyle w:val="Heading1"/>
        <w:spacing w:after="120" w:before="360"/>
      </w:pPr>
      <w:r>
        <w:rPr>
          <w:rFonts w:ascii="Arial" w:cs="Arial" w:eastAsia="Arial" w:hAnsi="Arial"/>
          <w:b/>
          <w:bCs/>
          <w:color w:val="1A3A2A"/>
          <w:sz w:val="36"/>
          <w:szCs w:val="36"/>
        </w:rPr>
        <w:t xml:space="preserve">1. Operational Context</w:t>
      </w:r>
    </w:p>
    <w:p>
      <w:pPr>
        <w:pStyle w:val="Heading2"/>
        <w:spacing w:after="80" w:before="240"/>
      </w:pPr>
      <w:r>
        <w:rPr>
          <w:rFonts w:ascii="Arial" w:cs="Arial" w:eastAsia="Arial" w:hAnsi="Arial"/>
          <w:b/>
          <w:bCs/>
          <w:color w:val="2E6B44"/>
          <w:sz w:val="26"/>
          <w:szCs w:val="26"/>
        </w:rPr>
        <w:t xml:space="preserve">1.1 Target Environments</w:t>
      </w:r>
    </w:p>
    <w:p>
      <w:pPr>
        <w:spacing w:after="80" w:before="80"/>
      </w:pPr>
      <w:r>
        <w:rPr>
          <w:rFonts w:ascii="Arial" w:cs="Arial" w:eastAsia="Arial" w:hAnsi="Arial"/>
          <w:b w:val="false"/>
          <w:bCs w:val="false"/>
          <w:i w:val="false"/>
          <w:iCs w:val="false"/>
          <w:color w:val="555555"/>
          <w:sz w:val="22"/>
          <w:szCs w:val="22"/>
        </w:rPr>
        <w:t xml:space="preserve">RRP nodes are designed for heavily polluted river systems carrying high organic loads — sewage effluent, agricultural runoff, industrial discharge, and suspended biomass. These are not systems with an occasional contamination event. They are chronically overloaded waterways where biological oxygen demand is elevated, pathogen presence is persistent, and suspended solids reduce light penetration and choke aquatic habitat.</w:t>
      </w:r>
    </w:p>
    <w:p>
      <w:pPr>
        <w:spacing w:after="0" w:before="60"/>
      </w:pPr>
    </w:p>
    <w:p>
      <w:pPr>
        <w:spacing w:after="80" w:before="80"/>
      </w:pPr>
      <w:r>
        <w:rPr>
          <w:rFonts w:ascii="Arial" w:cs="Arial" w:eastAsia="Arial" w:hAnsi="Arial"/>
          <w:b w:val="false"/>
          <w:bCs w:val="false"/>
          <w:i w:val="false"/>
          <w:iCs w:val="false"/>
          <w:color w:val="555555"/>
          <w:sz w:val="22"/>
          <w:szCs w:val="22"/>
        </w:rPr>
        <w:t xml:space="preserve">Typical deployment constraints include:</w:t>
      </w:r>
    </w:p>
    <w:p>
      <w:pPr>
        <w:pStyle w:val="ListParagraph"/>
        <w:numPr>
          <w:ilvl w:val="0"/>
          <w:numId w:val="2"/>
        </w:numPr>
        <w:spacing w:after="40" w:before="40"/>
      </w:pPr>
      <w:r>
        <w:rPr>
          <w:rFonts w:ascii="Arial" w:cs="Arial" w:eastAsia="Arial" w:hAnsi="Arial"/>
          <w:color w:val="555555"/>
          <w:sz w:val="22"/>
          <w:szCs w:val="22"/>
        </w:rPr>
        <w:t xml:space="preserve">Limited or absent centralized water treatment infrastructure</w:t>
      </w:r>
    </w:p>
    <w:p>
      <w:pPr>
        <w:pStyle w:val="ListParagraph"/>
        <w:numPr>
          <w:ilvl w:val="0"/>
          <w:numId w:val="2"/>
        </w:numPr>
        <w:spacing w:after="40" w:before="40"/>
      </w:pPr>
      <w:r>
        <w:rPr>
          <w:rFonts w:ascii="Arial" w:cs="Arial" w:eastAsia="Arial" w:hAnsi="Arial"/>
          <w:color w:val="555555"/>
          <w:sz w:val="22"/>
          <w:szCs w:val="22"/>
        </w:rPr>
        <w:t xml:space="preserve">High population density along the affected waterway — communities depending on the river for water, food, and economic activity</w:t>
      </w:r>
    </w:p>
    <w:p>
      <w:pPr>
        <w:pStyle w:val="ListParagraph"/>
        <w:numPr>
          <w:ilvl w:val="0"/>
          <w:numId w:val="2"/>
        </w:numPr>
        <w:spacing w:after="40" w:before="40"/>
      </w:pPr>
      <w:r>
        <w:rPr>
          <w:rFonts w:ascii="Arial" w:cs="Arial" w:eastAsia="Arial" w:hAnsi="Arial"/>
          <w:color w:val="555555"/>
          <w:sz w:val="22"/>
          <w:szCs w:val="22"/>
        </w:rPr>
        <w:t xml:space="preserve">Political sensitivity around water access, land use, and remediation authority</w:t>
      </w:r>
    </w:p>
    <w:p>
      <w:pPr>
        <w:pStyle w:val="ListParagraph"/>
        <w:numPr>
          <w:ilvl w:val="0"/>
          <w:numId w:val="2"/>
        </w:numPr>
        <w:spacing w:after="40" w:before="40"/>
      </w:pPr>
      <w:r>
        <w:rPr>
          <w:rFonts w:ascii="Arial" w:cs="Arial" w:eastAsia="Arial" w:hAnsi="Arial"/>
          <w:color w:val="555555"/>
          <w:sz w:val="22"/>
          <w:szCs w:val="22"/>
        </w:rPr>
        <w:t xml:space="preserve">Energy and resource scarcity — including petroleum dependence that makes conventional treatment expensive and fragile</w:t>
      </w:r>
    </w:p>
    <w:p>
      <w:pPr>
        <w:spacing w:after="0" w:before="80"/>
      </w:pPr>
    </w:p>
    <w:p>
      <w:pPr>
        <w:pStyle w:val="Heading2"/>
        <w:spacing w:after="80" w:before="240"/>
      </w:pPr>
      <w:r>
        <w:rPr>
          <w:rFonts w:ascii="Arial" w:cs="Arial" w:eastAsia="Arial" w:hAnsi="Arial"/>
          <w:b/>
          <w:bCs/>
          <w:color w:val="2E6B44"/>
          <w:sz w:val="26"/>
          <w:szCs w:val="26"/>
        </w:rPr>
        <w:t xml:space="preserve">1.2 The Core Insight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9E6A" w:sz="8"/>
              <w:left w:val="none" w:color="FFFFFF" w:sz="0"/>
              <w:bottom w:val="none" w:color="FFFFFF" w:sz="0"/>
              <w:right w:val="none" w:color="FFFFFF" w:sz="0"/>
            </w:tcBorders>
            <w:shd w:fill="E8F2EC" w:val="clear"/>
            <w:tcMar>
              <w:top w:type="dxa" w:w="160"/>
              <w:left w:type="dxa" w:w="240"/>
              <w:bottom w:type="dxa" w:w="160"/>
              <w:right w:type="dxa" w:w="240"/>
            </w:tcMar>
          </w:tcPr>
          <w:p>
            <w:pPr>
              <w:spacing w:after="20" w:before="40"/>
            </w:pPr>
            <w:r>
              <w:rPr>
                <w:rFonts w:ascii="Arial" w:cs="Arial" w:eastAsia="Arial" w:hAnsi="Arial"/>
                <w:b/>
                <w:bCs/>
                <w:color w:val="2E6B44"/>
                <w:sz w:val="20"/>
                <w:szCs w:val="20"/>
              </w:rPr>
              <w:t xml:space="preserve">OPERATOR REFRAME</w:t>
            </w:r>
          </w:p>
          <w:p>
            <w:pPr>
              <w:spacing w:after="40" w:before="20"/>
            </w:pPr>
            <w:r>
              <w:rPr>
                <w:rFonts w:ascii="Arial" w:cs="Arial" w:eastAsia="Arial" w:hAnsi="Arial"/>
                <w:i/>
                <w:iCs/>
                <w:color w:val="2C2C2C"/>
                <w:sz w:val="22"/>
                <w:szCs w:val="22"/>
              </w:rPr>
              <w:t xml:space="preserve">Polluted rivers are not waste problems. They are mismanaged resource streams. The RRP does not treat a river — it harvests it.</w:t>
            </w:r>
          </w:p>
        </w:tc>
      </w:tr>
    </w:tbl>
    <w:p>
      <w:pPr>
        <w:spacing w:after="0" w:before="120"/>
      </w:pPr>
    </w:p>
    <w:p>
      <w:pPr>
        <w:spacing w:after="80" w:before="80"/>
      </w:pPr>
      <w:r>
        <w:rPr>
          <w:rFonts w:ascii="Arial" w:cs="Arial" w:eastAsia="Arial" w:hAnsi="Arial"/>
          <w:b w:val="false"/>
          <w:bCs w:val="false"/>
          <w:i w:val="false"/>
          <w:iCs w:val="false"/>
          <w:color w:val="555555"/>
          <w:sz w:val="22"/>
          <w:szCs w:val="22"/>
        </w:rPr>
        <w:t xml:space="preserve">Two long-standing problems are solved simultaneously by a single system:</w:t>
      </w:r>
    </w:p>
    <w:p>
      <w:pPr>
        <w:pStyle w:val="ListParagraph"/>
        <w:numPr>
          <w:ilvl w:val="0"/>
          <w:numId w:val="2"/>
        </w:numPr>
        <w:spacing w:after="40" w:before="40"/>
      </w:pPr>
      <w:r>
        <w:rPr>
          <w:rFonts w:ascii="Arial" w:cs="Arial" w:eastAsia="Arial" w:hAnsi="Arial"/>
          <w:color w:val="555555"/>
          <w:sz w:val="22"/>
          <w:szCs w:val="22"/>
        </w:rPr>
        <w:t xml:space="preserve">Water contamination — chronic, visible, politically urgent</w:t>
      </w:r>
    </w:p>
    <w:p>
      <w:pPr>
        <w:pStyle w:val="ListParagraph"/>
        <w:numPr>
          <w:ilvl w:val="0"/>
          <w:numId w:val="2"/>
        </w:numPr>
        <w:spacing w:after="40" w:before="40"/>
      </w:pPr>
      <w:r>
        <w:rPr>
          <w:rFonts w:ascii="Arial" w:cs="Arial" w:eastAsia="Arial" w:hAnsi="Arial"/>
          <w:color w:val="555555"/>
          <w:sz w:val="22"/>
          <w:szCs w:val="22"/>
        </w:rPr>
        <w:t xml:space="preserve">Resource scarcity — fuel, soil nutrients, clean water for agriculture</w:t>
      </w:r>
    </w:p>
    <w:p>
      <w:pPr>
        <w:spacing w:after="0" w:before="80"/>
      </w:pPr>
    </w:p>
    <w:p>
      <w:pPr>
        <w:spacing w:after="80" w:before="80"/>
      </w:pPr>
      <w:r>
        <w:rPr>
          <w:rFonts w:ascii="Arial" w:cs="Arial" w:eastAsia="Arial" w:hAnsi="Arial"/>
          <w:b w:val="false"/>
          <w:bCs w:val="false"/>
          <w:i w:val="false"/>
          <w:iCs w:val="false"/>
          <w:color w:val="555555"/>
          <w:sz w:val="22"/>
          <w:szCs w:val="22"/>
        </w:rPr>
        <w:t xml:space="preserve">The system does not approach these as separate challenges requiring separate budgets and separate institutions. It reframes the polluted river as feedstock — a continuous, self-replenishing input stream whose throughput directly produces energy, agricultural inputs, and recoverable water.</w:t>
      </w:r>
    </w:p>
    <w:p>
      <w:pPr>
        <w:spacing w:after="0" w:before="80"/>
      </w:pPr>
    </w:p>
    <w:p>
      <w:pPr>
        <w:spacing w:after="80" w:before="80"/>
      </w:pPr>
      <w:r>
        <w:rPr>
          <w:rFonts w:ascii="Arial" w:cs="Arial" w:eastAsia="Arial" w:hAnsi="Arial"/>
          <w:b w:val="false"/>
          <w:bCs w:val="false"/>
          <w:i w:val="false"/>
          <w:iCs w:val="false"/>
          <w:color w:val="555555"/>
          <w:sz w:val="22"/>
          <w:szCs w:val="22"/>
        </w:rPr>
        <w:t xml:space="preserve">This is the operational premise that distinguishes RRP from conventional remediation. A conventional system consumes resources to remove pollution. The RRP converts pollution into resources.</w:t>
      </w:r>
    </w:p>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2. System Architecture</w:t>
      </w:r>
    </w:p>
    <w:p>
      <w:pPr>
        <w:pStyle w:val="Heading2"/>
        <w:spacing w:after="80" w:before="240"/>
      </w:pPr>
      <w:r>
        <w:rPr>
          <w:rFonts w:ascii="Arial" w:cs="Arial" w:eastAsia="Arial" w:hAnsi="Arial"/>
          <w:b/>
          <w:bCs/>
          <w:color w:val="2E6B44"/>
          <w:sz w:val="26"/>
          <w:szCs w:val="26"/>
        </w:rPr>
        <w:t xml:space="preserve">2.1 Input Stream</w:t>
      </w:r>
    </w:p>
    <w:p>
      <w:pPr>
        <w:spacing w:after="80" w:before="80"/>
      </w:pPr>
      <w:r>
        <w:rPr>
          <w:rFonts w:ascii="Arial" w:cs="Arial" w:eastAsia="Arial" w:hAnsi="Arial"/>
          <w:b w:val="false"/>
          <w:bCs w:val="false"/>
          <w:i w:val="false"/>
          <w:iCs w:val="false"/>
          <w:color w:val="555555"/>
          <w:sz w:val="22"/>
          <w:szCs w:val="22"/>
        </w:rPr>
        <w:t xml:space="preserve">The primary input is river water carrying organic waste — sewage, agricultural runoff, decomposing biomass, and suspended solids. The system is optimized for high organic concentration. Low-concentration water (clean rivers) is not the target environment. The higher the organic load, the higher the potential yield — which means the worst rivers are, counterintuitively, the best candidates.</w:t>
      </w:r>
    </w:p>
    <w:p>
      <w:pPr>
        <w:spacing w:after="0" w:before="80"/>
      </w:pPr>
    </w:p>
    <w:p>
      <w:pPr>
        <w:pStyle w:val="Heading2"/>
        <w:spacing w:after="80" w:before="240"/>
      </w:pPr>
      <w:r>
        <w:rPr>
          <w:rFonts w:ascii="Arial" w:cs="Arial" w:eastAsia="Arial" w:hAnsi="Arial"/>
          <w:b/>
          <w:bCs/>
          <w:color w:val="2E6B44"/>
          <w:sz w:val="26"/>
          <w:szCs w:val="26"/>
        </w:rPr>
        <w:t xml:space="preserve">2.2 Stage 1 — Mechanical + Biological Conditioning</w:t>
      </w:r>
    </w:p>
    <w:p>
      <w:pPr>
        <w:spacing w:after="80" w:before="80"/>
      </w:pPr>
      <w:r>
        <w:rPr>
          <w:rFonts w:ascii="Arial" w:cs="Arial" w:eastAsia="Arial" w:hAnsi="Arial"/>
          <w:b w:val="false"/>
          <w:bCs w:val="false"/>
          <w:i w:val="false"/>
          <w:iCs w:val="false"/>
          <w:color w:val="555555"/>
          <w:sz w:val="22"/>
          <w:szCs w:val="22"/>
        </w:rPr>
        <w:t xml:space="preserve">Raw river water enters a forebay — a settling and screening zone that removes large debris and begins sediment separation. Triple-layered screens handle intake blockage risk. A cistern downstream buffers flow and stabilizes feedstock composition before processing.</w:t>
      </w:r>
    </w:p>
    <w:p>
      <w:pPr>
        <w:spacing w:after="0" w:before="60"/>
      </w:pPr>
    </w:p>
    <w:p>
      <w:pPr>
        <w:spacing w:after="80" w:before="80"/>
      </w:pPr>
      <w:r>
        <w:rPr>
          <w:rFonts w:ascii="Arial" w:cs="Arial" w:eastAsia="Arial" w:hAnsi="Arial"/>
          <w:b w:val="false"/>
          <w:bCs w:val="false"/>
          <w:i w:val="false"/>
          <w:iCs w:val="false"/>
          <w:color w:val="555555"/>
          <w:sz w:val="22"/>
          <w:szCs w:val="22"/>
        </w:rPr>
        <w:t xml:space="preserve">Biological pre-processing follows. Depending on feedstock composition, this may include:</w:t>
      </w:r>
    </w:p>
    <w:p>
      <w:pPr>
        <w:pStyle w:val="ListParagraph"/>
        <w:numPr>
          <w:ilvl w:val="0"/>
          <w:numId w:val="2"/>
        </w:numPr>
        <w:spacing w:after="40" w:before="40"/>
      </w:pPr>
      <w:r>
        <w:rPr>
          <w:rFonts w:ascii="Arial" w:cs="Arial" w:eastAsia="Arial" w:hAnsi="Arial"/>
          <w:color w:val="555555"/>
          <w:sz w:val="22"/>
          <w:szCs w:val="22"/>
        </w:rPr>
        <w:t xml:space="preserve">Biofiltration media beds that begin breaking down dissolved organics</w:t>
      </w:r>
    </w:p>
    <w:p>
      <w:pPr>
        <w:pStyle w:val="ListParagraph"/>
        <w:numPr>
          <w:ilvl w:val="0"/>
          <w:numId w:val="2"/>
        </w:numPr>
        <w:spacing w:after="40" w:before="40"/>
      </w:pPr>
      <w:r>
        <w:rPr>
          <w:rFonts w:ascii="Arial" w:cs="Arial" w:eastAsia="Arial" w:hAnsi="Arial"/>
          <w:color w:val="555555"/>
          <w:sz w:val="22"/>
          <w:szCs w:val="22"/>
        </w:rPr>
        <w:t xml:space="preserve">Anaerobic conditioning where appropriate — low-oxygen zones that accelerate organic breakdown</w:t>
      </w:r>
    </w:p>
    <w:p>
      <w:pPr>
        <w:pStyle w:val="ListParagraph"/>
        <w:numPr>
          <w:ilvl w:val="0"/>
          <w:numId w:val="2"/>
        </w:numPr>
        <w:spacing w:after="40" w:before="40"/>
      </w:pPr>
      <w:r>
        <w:rPr>
          <w:rFonts w:ascii="Arial" w:cs="Arial" w:eastAsia="Arial" w:hAnsi="Arial"/>
          <w:color w:val="555555"/>
          <w:sz w:val="22"/>
          <w:szCs w:val="22"/>
        </w:rPr>
        <w:t xml:space="preserve">Algae polishing beds that extract nutrients (nitrogen, phosphorus) from the water column before thermal processing</w:t>
      </w:r>
    </w:p>
    <w:p>
      <w:pPr>
        <w:spacing w:after="0" w:before="80"/>
      </w:pPr>
    </w:p>
    <w:p>
      <w:pPr>
        <w:spacing w:after="80" w:before="80"/>
      </w:pPr>
      <w:r>
        <w:rPr>
          <w:rFonts w:ascii="Arial" w:cs="Arial" w:eastAsia="Arial" w:hAnsi="Arial"/>
          <w:b w:val="false"/>
          <w:bCs w:val="false"/>
          <w:i w:val="false"/>
          <w:iCs w:val="false"/>
          <w:color w:val="555555"/>
          <w:sz w:val="22"/>
          <w:szCs w:val="22"/>
        </w:rPr>
        <w:t xml:space="preserve">The output of Stage 1 is a conditioned, concentrated organic slurry — prepared feedstock for thermochemical conversion.</w:t>
      </w:r>
    </w:p>
    <w:p>
      <w:pPr>
        <w:spacing w:after="0" w:before="80"/>
      </w:pPr>
    </w:p>
    <w:p>
      <w:pPr>
        <w:pStyle w:val="Heading2"/>
        <w:spacing w:after="80" w:before="240"/>
      </w:pPr>
      <w:r>
        <w:rPr>
          <w:rFonts w:ascii="Arial" w:cs="Arial" w:eastAsia="Arial" w:hAnsi="Arial"/>
          <w:b/>
          <w:bCs/>
          <w:color w:val="2E6B44"/>
          <w:sz w:val="26"/>
          <w:szCs w:val="26"/>
        </w:rPr>
        <w:t xml:space="preserve">2.3 Stage 2 — Precision Thermal Cycling (PTC)</w:t>
      </w:r>
    </w:p>
    <w:p>
      <w:pPr>
        <w:spacing w:after="80" w:before="80"/>
      </w:pPr>
      <w:r>
        <w:rPr>
          <w:rFonts w:ascii="Arial" w:cs="Arial" w:eastAsia="Arial" w:hAnsi="Arial"/>
          <w:b w:val="false"/>
          <w:bCs w:val="false"/>
          <w:i w:val="false"/>
          <w:iCs w:val="false"/>
          <w:color w:val="555555"/>
          <w:sz w:val="22"/>
          <w:szCs w:val="22"/>
        </w:rPr>
        <w:t xml:space="preserve">This is the core conversion engine. PTC applies controlled multi-phase thermal processing to convert organic material into stable, recoverable products.</w:t>
      </w:r>
    </w:p>
    <w:p>
      <w:pPr>
        <w:spacing w:after="0" w:before="60"/>
      </w:pPr>
    </w:p>
    <w:p>
      <w:pPr>
        <w:spacing w:after="80" w:before="80"/>
      </w:pPr>
      <w:r>
        <w:rPr>
          <w:rFonts w:ascii="Arial" w:cs="Arial" w:eastAsia="Arial" w:hAnsi="Arial"/>
          <w:b w:val="false"/>
          <w:bCs w:val="false"/>
          <w:i w:val="false"/>
          <w:iCs w:val="false"/>
          <w:color w:val="555555"/>
          <w:sz w:val="22"/>
          <w:szCs w:val="22"/>
        </w:rPr>
        <w:t xml:space="preserve">Two thermochemical pathways operate depending on feedstock moisture content and target outputs: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Process</w:t>
            </w:r>
          </w:p>
        </w:tc>
        <w:tc>
          <w:tcPr>
            <w:tcW w:type="dxa" w:w="624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Function &amp; Output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Hydrothermal Liquefaction (HTL)</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High-moisture organic slurry processed at elevated temperature and pressure. Produces biocrude — an oil-analog fuel — along with aqueous phase and gas.</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Hydrothermal Carbonization (HTC)</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Wet biomass processed at lower temperatures than HTL. Produces hydrochar — a stable carbon solid — along with process water and CO₂.</w:t>
            </w:r>
          </w:p>
        </w:tc>
      </w:tr>
    </w:tbl>
    <w:p>
      <w:pPr>
        <w:spacing w:after="0" w:before="120"/>
      </w:pPr>
    </w:p>
    <w:p>
      <w:pPr>
        <w:spacing w:after="80" w:before="80"/>
      </w:pPr>
      <w:r>
        <w:rPr>
          <w:rFonts w:ascii="Arial" w:cs="Arial" w:eastAsia="Arial" w:hAnsi="Arial"/>
          <w:b w:val="false"/>
          <w:bCs w:val="false"/>
          <w:i w:val="false"/>
          <w:iCs w:val="false"/>
          <w:color w:val="555555"/>
          <w:sz w:val="22"/>
          <w:szCs w:val="22"/>
        </w:rPr>
        <w:t xml:space="preserve">Both pathways are closed-loop: process water is recovered and returned to the system. Waste heat from the reactor is captured and redirected to greenhouse operations, reducing external energy demand. The system is designed to reach net energy positivity — producing more usable energy than it consumes.</w:t>
      </w:r>
    </w:p>
    <w:p>
      <w:pPr>
        <w:spacing w:after="0" w:before="80"/>
      </w:pPr>
    </w:p>
    <w:p>
      <w:pPr>
        <w:pStyle w:val="Heading2"/>
        <w:spacing w:after="80" w:before="240"/>
      </w:pPr>
      <w:r>
        <w:rPr>
          <w:rFonts w:ascii="Arial" w:cs="Arial" w:eastAsia="Arial" w:hAnsi="Arial"/>
          <w:b/>
          <w:bCs/>
          <w:color w:val="2E6B44"/>
          <w:sz w:val="26"/>
          <w:szCs w:val="26"/>
        </w:rPr>
        <w:t xml:space="preserve">2.4 Stage 3 — Separation + Recovery</w:t>
      </w:r>
    </w:p>
    <w:p>
      <w:pPr>
        <w:spacing w:after="80" w:before="80"/>
      </w:pPr>
      <w:r>
        <w:rPr>
          <w:rFonts w:ascii="Arial" w:cs="Arial" w:eastAsia="Arial" w:hAnsi="Arial"/>
          <w:b w:val="false"/>
          <w:bCs w:val="false"/>
          <w:i w:val="false"/>
          <w:iCs w:val="false"/>
          <w:color w:val="555555"/>
          <w:sz w:val="22"/>
          <w:szCs w:val="22"/>
        </w:rPr>
        <w:t xml:space="preserve">Thermochemical outputs are separated and stabilized:</w:t>
      </w:r>
    </w:p>
    <w:p>
      <w:pPr>
        <w:pStyle w:val="ListParagraph"/>
        <w:numPr>
          <w:ilvl w:val="0"/>
          <w:numId w:val="2"/>
        </w:numPr>
        <w:spacing w:after="40" w:before="40"/>
      </w:pPr>
      <w:r>
        <w:rPr>
          <w:rFonts w:ascii="Arial" w:cs="Arial" w:eastAsia="Arial" w:hAnsi="Arial"/>
          <w:color w:val="555555"/>
          <w:sz w:val="22"/>
          <w:szCs w:val="22"/>
        </w:rPr>
        <w:t xml:space="preserve">Oil fraction (biocrude) is captured, stabilized, and staged for local energy use or sale</w:t>
      </w:r>
    </w:p>
    <w:p>
      <w:pPr>
        <w:pStyle w:val="ListParagraph"/>
        <w:numPr>
          <w:ilvl w:val="0"/>
          <w:numId w:val="2"/>
        </w:numPr>
        <w:spacing w:after="40" w:before="40"/>
      </w:pPr>
      <w:r>
        <w:rPr>
          <w:rFonts w:ascii="Arial" w:cs="Arial" w:eastAsia="Arial" w:hAnsi="Arial"/>
          <w:color w:val="555555"/>
          <w:sz w:val="22"/>
          <w:szCs w:val="22"/>
        </w:rPr>
        <w:t xml:space="preserve">Carbon solids (hydrochar / biochar) are cooled and prepared for agricultural or filtration applications</w:t>
      </w:r>
    </w:p>
    <w:p>
      <w:pPr>
        <w:pStyle w:val="ListParagraph"/>
        <w:numPr>
          <w:ilvl w:val="0"/>
          <w:numId w:val="2"/>
        </w:numPr>
        <w:spacing w:after="40" w:before="40"/>
      </w:pPr>
      <w:r>
        <w:rPr>
          <w:rFonts w:ascii="Arial" w:cs="Arial" w:eastAsia="Arial" w:hAnsi="Arial"/>
          <w:color w:val="555555"/>
          <w:sz w:val="22"/>
          <w:szCs w:val="22"/>
        </w:rPr>
        <w:t xml:space="preserve">Process water is polished through additional biological or UV treatment for reuse or compliant discharge</w:t>
      </w:r>
    </w:p>
    <w:p>
      <w:pPr>
        <w:pStyle w:val="ListParagraph"/>
        <w:numPr>
          <w:ilvl w:val="0"/>
          <w:numId w:val="2"/>
        </w:numPr>
        <w:spacing w:after="40" w:before="40"/>
      </w:pPr>
      <w:r>
        <w:rPr>
          <w:rFonts w:ascii="Arial" w:cs="Arial" w:eastAsia="Arial" w:hAnsi="Arial"/>
          <w:color w:val="555555"/>
          <w:sz w:val="22"/>
          <w:szCs w:val="22"/>
        </w:rPr>
        <w:t xml:space="preserve">Waste heat is routed to greenhouse systems via the thermal loop</w:t>
      </w:r>
    </w:p>
    <w:p>
      <w:pPr>
        <w:spacing w:after="0" w:before="80"/>
      </w:pPr>
    </w:p>
    <w:p>
      <w:pPr>
        <w:pStyle w:val="Heading2"/>
        <w:spacing w:after="80" w:before="240"/>
      </w:pPr>
      <w:r>
        <w:rPr>
          <w:rFonts w:ascii="Arial" w:cs="Arial" w:eastAsia="Arial" w:hAnsi="Arial"/>
          <w:b/>
          <w:bCs/>
          <w:color w:val="2E6B44"/>
          <w:sz w:val="26"/>
          <w:szCs w:val="26"/>
        </w:rPr>
        <w:t xml:space="preserve">2.5 System Outputs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Output</w:t>
            </w:r>
          </w:p>
        </w:tc>
        <w:tc>
          <w:tcPr>
            <w:tcW w:type="dxa" w:w="624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Description &amp; Value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Recovered Water</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Polished for agricultural reuse or discharge to regulated standards. Primary visible indicator of system performance for community stakeholders.</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Biocrude</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Oil-analog fuel usable in diesel-compatible equipment. Local energy value — reduces petroleum import dependency. Positions the system as an economic engine.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Biochar / Hydrochar</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Stable carbon solid. Agricultural applications: soil amendment, water retention, nutrient release. Filtration applications: polishing beds. Carbon sequestration value.</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Thermal Energy</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Waste heat reused internally across greenhouse and evaporation systems. Reduces parasitic energy demand. Critical to net energy balance.</w:t>
            </w:r>
          </w:p>
        </w:tc>
      </w:tr>
    </w:tbl>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3. Why It Works</w:t>
      </w:r>
    </w:p>
    <w:p>
      <w:pPr>
        <w:spacing w:after="80" w:before="80"/>
      </w:pPr>
      <w:r>
        <w:rPr>
          <w:rFonts w:ascii="Arial" w:cs="Arial" w:eastAsia="Arial" w:hAnsi="Arial"/>
          <w:b w:val="false"/>
          <w:bCs w:val="false"/>
          <w:i w:val="false"/>
          <w:iCs w:val="false"/>
          <w:color w:val="555555"/>
          <w:sz w:val="22"/>
          <w:szCs w:val="22"/>
        </w:rPr>
        <w:t xml:space="preserve">Four structural advantages make this system viable at polluted river sites where conventional treatment fails:</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Advantage</w:t>
            </w:r>
          </w:p>
        </w:tc>
        <w:tc>
          <w:tcPr>
            <w:tcW w:type="dxa" w:w="624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Why It Matters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Feedstock density</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High organic pollution = high thermochemical yield. The contamination that makes the river dangerous is the fuel that makes the system profitable. Pollution intensity is an asset, not just a problem.</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Continuous input</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River flow is constant. Unlike point-source waste streams tied to industrial schedules, a river delivers feedstock 24 hours a day, every day. The system never runs out of input.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Closed-loop thermal efficiency</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Heat generated by thermochemical conversion is captured and reused within the system. This is the primary lever for reaching net energy positivity — and the variable that most dramatically improves economics at scale.</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Modular deployment</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Nodes are sized and positioned independently. A single pilot node produces usable data. A cluster of nodes produces regional impact. No central facility is required. Infrastructure scales with demonstrated results.</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9E6A" w:sz="8"/>
              <w:left w:val="none" w:color="FFFFFF" w:sz="0"/>
              <w:bottom w:val="none" w:color="FFFFFF" w:sz="0"/>
              <w:right w:val="none" w:color="FFFFFF" w:sz="0"/>
            </w:tcBorders>
            <w:shd w:fill="E8F2EC" w:val="clear"/>
            <w:tcMar>
              <w:top w:type="dxa" w:w="160"/>
              <w:left w:type="dxa" w:w="240"/>
              <w:bottom w:type="dxa" w:w="160"/>
              <w:right w:type="dxa" w:w="240"/>
            </w:tcMar>
          </w:tcPr>
          <w:p>
            <w:pPr>
              <w:spacing w:after="20" w:before="40"/>
            </w:pPr>
            <w:r>
              <w:rPr>
                <w:rFonts w:ascii="Arial" w:cs="Arial" w:eastAsia="Arial" w:hAnsi="Arial"/>
                <w:b/>
                <w:bCs/>
                <w:color w:val="2E6B44"/>
                <w:sz w:val="20"/>
                <w:szCs w:val="20"/>
              </w:rPr>
              <w:t xml:space="preserve">OPERATOR MENTAL MODEL</w:t>
            </w:r>
          </w:p>
          <w:p>
            <w:pPr>
              <w:spacing w:after="40" w:before="20"/>
            </w:pPr>
            <w:r>
              <w:rPr>
                <w:rFonts w:ascii="Arial" w:cs="Arial" w:eastAsia="Arial" w:hAnsi="Arial"/>
                <w:i/>
                <w:iCs/>
                <w:color w:val="2C2C2C"/>
                <w:sz w:val="22"/>
                <w:szCs w:val="22"/>
              </w:rPr>
              <w:t xml:space="preserve">You are not cleaning a river. You are harvesting a moving resource stream and stabilizing its outputs. The river is the supply chain.</w:t>
            </w:r>
          </w:p>
        </w:tc>
      </w:tr>
    </w:tbl>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4. Deployment Strategy</w:t>
      </w:r>
    </w:p>
    <w:p>
      <w:pPr>
        <w:spacing w:after="80" w:before="80"/>
      </w:pPr>
      <w:r>
        <w:rPr>
          <w:rFonts w:ascii="Arial" w:cs="Arial" w:eastAsia="Arial" w:hAnsi="Arial"/>
          <w:b w:val="false"/>
          <w:bCs w:val="false"/>
          <w:i w:val="false"/>
          <w:iCs w:val="false"/>
          <w:color w:val="555555"/>
          <w:sz w:val="22"/>
          <w:szCs w:val="22"/>
        </w:rPr>
        <w:t xml:space="preserve">Deployment follows a phased model. Each phase builds on validated data from the previous one. No phase requires the next to be fully designed before it begins.</w:t>
      </w:r>
    </w:p>
    <w:p>
      <w:pPr>
        <w:spacing w:after="0" w:before="80"/>
      </w:pPr>
    </w:p>
    <w:p>
      <w:pPr>
        <w:pStyle w:val="Heading2"/>
        <w:spacing w:after="80" w:before="240"/>
      </w:pPr>
      <w:r>
        <w:rPr>
          <w:rFonts w:ascii="Arial" w:cs="Arial" w:eastAsia="Arial" w:hAnsi="Arial"/>
          <w:b/>
          <w:bCs/>
          <w:color w:val="2E6B44"/>
          <w:sz w:val="26"/>
          <w:szCs w:val="26"/>
        </w:rPr>
        <w:t xml:space="preserve">Phase 1 — Pilot Node</w:t>
      </w:r>
    </w:p>
    <w:p>
      <w:pPr>
        <w:spacing w:after="80" w:before="80"/>
      </w:pPr>
      <w:r>
        <w:rPr>
          <w:rFonts w:ascii="Arial" w:cs="Arial" w:eastAsia="Arial" w:hAnsi="Arial"/>
          <w:b w:val="false"/>
          <w:bCs w:val="false"/>
          <w:i w:val="false"/>
          <w:iCs w:val="false"/>
          <w:color w:val="555555"/>
          <w:sz w:val="22"/>
          <w:szCs w:val="22"/>
        </w:rPr>
        <w:t xml:space="preserve">A single modular unit placed at a high-flow contamination point. The pilot is not a proof of concept — it is a data engine. Everything downstream in the deployment model depends on what the pilot measures.</w:t>
      </w:r>
    </w:p>
    <w:p>
      <w:pPr>
        <w:spacing w:after="0" w:before="60"/>
      </w:pPr>
    </w:p>
    <w:p>
      <w:pPr>
        <w:spacing w:after="80" w:before="80"/>
      </w:pPr>
      <w:r>
        <w:rPr>
          <w:rFonts w:ascii="Arial" w:cs="Arial" w:eastAsia="Arial" w:hAnsi="Arial"/>
          <w:b w:val="false"/>
          <w:bCs w:val="false"/>
          <w:i w:val="false"/>
          <w:iCs w:val="false"/>
          <w:color w:val="555555"/>
          <w:sz w:val="22"/>
          <w:szCs w:val="22"/>
        </w:rPr>
        <w:t xml:space="preserve">Pilot objectives:</w:t>
      </w:r>
    </w:p>
    <w:p>
      <w:pPr>
        <w:pStyle w:val="ListParagraph"/>
        <w:numPr>
          <w:ilvl w:val="0"/>
          <w:numId w:val="2"/>
        </w:numPr>
        <w:spacing w:after="40" w:before="40"/>
      </w:pPr>
      <w:r>
        <w:rPr>
          <w:rFonts w:ascii="Arial" w:cs="Arial" w:eastAsia="Arial" w:hAnsi="Arial"/>
          <w:color w:val="555555"/>
          <w:sz w:val="22"/>
          <w:szCs w:val="22"/>
        </w:rPr>
        <w:t xml:space="preserve">Validate throughput at site-specific conditions</w:t>
      </w:r>
    </w:p>
    <w:p>
      <w:pPr>
        <w:pStyle w:val="ListParagraph"/>
        <w:numPr>
          <w:ilvl w:val="0"/>
          <w:numId w:val="2"/>
        </w:numPr>
        <w:spacing w:after="40" w:before="40"/>
      </w:pPr>
      <w:r>
        <w:rPr>
          <w:rFonts w:ascii="Arial" w:cs="Arial" w:eastAsia="Arial" w:hAnsi="Arial"/>
          <w:color w:val="555555"/>
          <w:sz w:val="22"/>
          <w:szCs w:val="22"/>
        </w:rPr>
        <w:t xml:space="preserve">Measure output quality — biocrude yield, char quality, water clarity</w:t>
      </w:r>
    </w:p>
    <w:p>
      <w:pPr>
        <w:pStyle w:val="ListParagraph"/>
        <w:numPr>
          <w:ilvl w:val="0"/>
          <w:numId w:val="2"/>
        </w:numPr>
        <w:spacing w:after="40" w:before="40"/>
      </w:pPr>
      <w:r>
        <w:rPr>
          <w:rFonts w:ascii="Arial" w:cs="Arial" w:eastAsia="Arial" w:hAnsi="Arial"/>
          <w:color w:val="555555"/>
          <w:sz w:val="22"/>
          <w:szCs w:val="22"/>
        </w:rPr>
        <w:t xml:space="preserve">Generate the feedstock-to-output ratios that calibrate the financial model</w:t>
      </w:r>
    </w:p>
    <w:p>
      <w:pPr>
        <w:pStyle w:val="ListParagraph"/>
        <w:numPr>
          <w:ilvl w:val="0"/>
          <w:numId w:val="2"/>
        </w:numPr>
        <w:spacing w:after="40" w:before="40"/>
      </w:pPr>
      <w:r>
        <w:rPr>
          <w:rFonts w:ascii="Arial" w:cs="Arial" w:eastAsia="Arial" w:hAnsi="Arial"/>
          <w:color w:val="555555"/>
          <w:sz w:val="22"/>
          <w:szCs w:val="22"/>
        </w:rPr>
        <w:t xml:space="preserve">Demonstrate visible water improvement to the surrounding community and political stakeholders</w:t>
      </w:r>
    </w:p>
    <w:p>
      <w:pPr>
        <w:pStyle w:val="ListParagraph"/>
        <w:numPr>
          <w:ilvl w:val="0"/>
          <w:numId w:val="2"/>
        </w:numPr>
        <w:spacing w:after="40" w:before="40"/>
      </w:pPr>
      <w:r>
        <w:rPr>
          <w:rFonts w:ascii="Arial" w:cs="Arial" w:eastAsia="Arial" w:hAnsi="Arial"/>
          <w:color w:val="555555"/>
          <w:sz w:val="22"/>
          <w:szCs w:val="22"/>
        </w:rPr>
        <w:t xml:space="preserve">Establish the operator protocols that will transfer to subsequent nodes</w:t>
      </w:r>
    </w:p>
    <w:p>
      <w:pPr>
        <w:spacing w:after="0" w:before="80"/>
      </w:pPr>
    </w:p>
    <w:p>
      <w:pPr>
        <w:spacing w:after="80" w:before="80"/>
      </w:pPr>
      <w:r>
        <w:rPr>
          <w:rFonts w:ascii="Arial" w:cs="Arial" w:eastAsia="Arial" w:hAnsi="Arial"/>
          <w:b w:val="false"/>
          <w:bCs w:val="false"/>
          <w:i w:val="false"/>
          <w:iCs w:val="false"/>
          <w:color w:val="555555"/>
          <w:sz w:val="22"/>
          <w:szCs w:val="22"/>
        </w:rPr>
        <w:t xml:space="preserve">The pilot is a Model B configuration — biological engine only, with biomass transported to a third-party processor or stored until a hub reactor is available. This keeps entry capital manageable and begins generating performance data before committing to thermochemical infrastructure.</w:t>
      </w:r>
    </w:p>
    <w:p>
      <w:pPr>
        <w:spacing w:after="0" w:before="100"/>
      </w:pPr>
    </w:p>
    <w:p>
      <w:pPr>
        <w:pStyle w:val="Heading2"/>
        <w:spacing w:after="80" w:before="240"/>
      </w:pPr>
      <w:r>
        <w:rPr>
          <w:rFonts w:ascii="Arial" w:cs="Arial" w:eastAsia="Arial" w:hAnsi="Arial"/>
          <w:b/>
          <w:bCs/>
          <w:color w:val="2E6B44"/>
          <w:sz w:val="26"/>
          <w:szCs w:val="26"/>
        </w:rPr>
        <w:t xml:space="preserve">Phase 2 — Cluster Expansion</w:t>
      </w:r>
    </w:p>
    <w:p>
      <w:pPr>
        <w:spacing w:after="80" w:before="80"/>
      </w:pPr>
      <w:r>
        <w:rPr>
          <w:rFonts w:ascii="Arial" w:cs="Arial" w:eastAsia="Arial" w:hAnsi="Arial"/>
          <w:b w:val="false"/>
          <w:bCs w:val="false"/>
          <w:i w:val="false"/>
          <w:iCs w:val="false"/>
          <w:color w:val="555555"/>
          <w:sz w:val="22"/>
          <w:szCs w:val="22"/>
        </w:rPr>
        <w:t xml:space="preserve">Multiple nodes deployed along the river corridor. Positioning is staggered deliberately:</w:t>
      </w:r>
    </w:p>
    <w:p>
      <w:pPr>
        <w:pStyle w:val="ListParagraph"/>
        <w:numPr>
          <w:ilvl w:val="0"/>
          <w:numId w:val="2"/>
        </w:numPr>
        <w:spacing w:after="40" w:before="40"/>
      </w:pPr>
      <w:r>
        <w:rPr>
          <w:rFonts w:ascii="Arial" w:cs="Arial" w:eastAsia="Arial" w:hAnsi="Arial"/>
          <w:color w:val="555555"/>
          <w:sz w:val="22"/>
          <w:szCs w:val="22"/>
        </w:rPr>
        <w:t xml:space="preserve">Upstream nodes reduce the organic load entering the system — protecting downstream nodes from overload events</w:t>
      </w:r>
    </w:p>
    <w:p>
      <w:pPr>
        <w:pStyle w:val="ListParagraph"/>
        <w:numPr>
          <w:ilvl w:val="0"/>
          <w:numId w:val="2"/>
        </w:numPr>
        <w:spacing w:after="40" w:before="40"/>
      </w:pPr>
      <w:r>
        <w:rPr>
          <w:rFonts w:ascii="Arial" w:cs="Arial" w:eastAsia="Arial" w:hAnsi="Arial"/>
          <w:color w:val="555555"/>
          <w:sz w:val="22"/>
          <w:szCs w:val="22"/>
        </w:rPr>
        <w:t xml:space="preserve">Downstream nodes perform final polishing — targeting residual nutrient and pathogen load</w:t>
      </w:r>
    </w:p>
    <w:p>
      <w:pPr>
        <w:pStyle w:val="ListParagraph"/>
        <w:numPr>
          <w:ilvl w:val="0"/>
          <w:numId w:val="2"/>
        </w:numPr>
        <w:spacing w:after="40" w:before="40"/>
      </w:pPr>
      <w:r>
        <w:rPr>
          <w:rFonts w:ascii="Arial" w:cs="Arial" w:eastAsia="Arial" w:hAnsi="Arial"/>
          <w:color w:val="555555"/>
          <w:sz w:val="22"/>
          <w:szCs w:val="22"/>
        </w:rPr>
        <w:t xml:space="preserve">At least one node transitions to Model A (integrated thermochemical hub) as biomass supply from satellite nodes reaches reactor-minimum thresholds</w:t>
      </w:r>
    </w:p>
    <w:p>
      <w:pPr>
        <w:spacing w:after="0" w:before="80"/>
      </w:pPr>
    </w:p>
    <w:p>
      <w:pPr>
        <w:spacing w:after="80" w:before="80"/>
      </w:pPr>
      <w:r>
        <w:rPr>
          <w:rFonts w:ascii="Arial" w:cs="Arial" w:eastAsia="Arial" w:hAnsi="Arial"/>
          <w:b w:val="false"/>
          <w:bCs w:val="false"/>
          <w:i w:val="false"/>
          <w:iCs w:val="false"/>
          <w:color w:val="555555"/>
          <w:sz w:val="22"/>
          <w:szCs w:val="22"/>
        </w:rPr>
        <w:t xml:space="preserve">The standard cluster configuration is one Model A hub served by five to ten Model B satellite nodes. The hub reactor runs at steady-state regardless of individual satellite variation. Seasonal gaps at one node are covered by production at others.</w:t>
      </w:r>
    </w:p>
    <w:p>
      <w:pPr>
        <w:spacing w:after="0" w:before="100"/>
      </w:pPr>
    </w:p>
    <w:p>
      <w:pPr>
        <w:pStyle w:val="Heading2"/>
        <w:spacing w:after="80" w:before="240"/>
      </w:pPr>
      <w:r>
        <w:rPr>
          <w:rFonts w:ascii="Arial" w:cs="Arial" w:eastAsia="Arial" w:hAnsi="Arial"/>
          <w:b/>
          <w:bCs/>
          <w:color w:val="2E6B44"/>
          <w:sz w:val="26"/>
          <w:szCs w:val="26"/>
        </w:rPr>
        <w:t xml:space="preserve">Phase 3 — Network Integration</w:t>
      </w:r>
    </w:p>
    <w:p>
      <w:pPr>
        <w:spacing w:after="80" w:before="80"/>
      </w:pPr>
      <w:r>
        <w:rPr>
          <w:rFonts w:ascii="Arial" w:cs="Arial" w:eastAsia="Arial" w:hAnsi="Arial"/>
          <w:b w:val="false"/>
          <w:bCs w:val="false"/>
          <w:i w:val="false"/>
          <w:iCs w:val="false"/>
          <w:color w:val="555555"/>
          <w:sz w:val="22"/>
          <w:szCs w:val="22"/>
        </w:rPr>
        <w:t xml:space="preserve">Cluster outputs are integrated into regional resource loops:</w:t>
      </w:r>
    </w:p>
    <w:p>
      <w:pPr>
        <w:pStyle w:val="ListParagraph"/>
        <w:numPr>
          <w:ilvl w:val="0"/>
          <w:numId w:val="2"/>
        </w:numPr>
        <w:spacing w:after="40" w:before="40"/>
      </w:pPr>
      <w:r>
        <w:rPr>
          <w:rFonts w:ascii="Arial" w:cs="Arial" w:eastAsia="Arial" w:hAnsi="Arial"/>
          <w:color w:val="555555"/>
          <w:sz w:val="22"/>
          <w:szCs w:val="22"/>
        </w:rPr>
        <w:t xml:space="preserve">Biocrude enters local energy supply — displacing petroleum imports, providing fuel for agricultural equipment, generators, and transport</w:t>
      </w:r>
    </w:p>
    <w:p>
      <w:pPr>
        <w:pStyle w:val="ListParagraph"/>
        <w:numPr>
          <w:ilvl w:val="0"/>
          <w:numId w:val="2"/>
        </w:numPr>
        <w:spacing w:after="40" w:before="40"/>
      </w:pPr>
      <w:r>
        <w:rPr>
          <w:rFonts w:ascii="Arial" w:cs="Arial" w:eastAsia="Arial" w:hAnsi="Arial"/>
          <w:color w:val="555555"/>
          <w:sz w:val="22"/>
          <w:szCs w:val="22"/>
        </w:rPr>
        <w:t xml:space="preserve">Biochar moves into agricultural distribution networks — available to regional farms as soil amendment and water retention media</w:t>
      </w:r>
    </w:p>
    <w:p>
      <w:pPr>
        <w:pStyle w:val="ListParagraph"/>
        <w:numPr>
          <w:ilvl w:val="0"/>
          <w:numId w:val="2"/>
        </w:numPr>
        <w:spacing w:after="40" w:before="40"/>
      </w:pPr>
      <w:r>
        <w:rPr>
          <w:rFonts w:ascii="Arial" w:cs="Arial" w:eastAsia="Arial" w:hAnsi="Arial"/>
          <w:color w:val="555555"/>
          <w:sz w:val="22"/>
          <w:szCs w:val="22"/>
        </w:rPr>
        <w:t xml:space="preserve">Recovered water enters municipal or agricultural water strategies — reducing freshwater drawdown from stressed aquifers or reservoirs</w:t>
      </w:r>
    </w:p>
    <w:p>
      <w:pPr>
        <w:pStyle w:val="ListParagraph"/>
        <w:numPr>
          <w:ilvl w:val="0"/>
          <w:numId w:val="2"/>
        </w:numPr>
        <w:spacing w:after="40" w:before="40"/>
      </w:pPr>
      <w:r>
        <w:rPr>
          <w:rFonts w:ascii="Arial" w:cs="Arial" w:eastAsia="Arial" w:hAnsi="Arial"/>
          <w:color w:val="555555"/>
          <w:sz w:val="22"/>
          <w:szCs w:val="22"/>
        </w:rPr>
        <w:t xml:space="preserve">System performance data feeds watershed management — nodes become the monitoring infrastructure for river health at scale</w:t>
      </w:r>
    </w:p>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5. Site Selection</w:t>
      </w:r>
    </w:p>
    <w:p>
      <w:pPr>
        <w:spacing w:after="80" w:before="80"/>
      </w:pPr>
      <w:r>
        <w:rPr>
          <w:rFonts w:ascii="Arial" w:cs="Arial" w:eastAsia="Arial" w:hAnsi="Arial"/>
          <w:b w:val="false"/>
          <w:bCs w:val="false"/>
          <w:i w:val="false"/>
          <w:iCs w:val="false"/>
          <w:color w:val="555555"/>
          <w:sz w:val="22"/>
          <w:szCs w:val="22"/>
        </w:rPr>
        <w:t xml:space="preserve">Not every polluted river segment is an appropriate pilot site. Site selection determines whether the system performs, whether it generates community support, and whether Phase 2 is politically achievable.</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Criterion</w:t>
            </w:r>
          </w:p>
        </w:tc>
        <w:tc>
          <w:tcPr>
            <w:tcW w:type="dxa" w:w="624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Why It Matters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High organic concentration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System is optimized for organic load — not heavy metals or industrial chemical contamination. Nutrient-dense agricultural runoff and sewage effluent are ideal feedstocks. Chemical-only contamination with low organics does not produce adequate thermochemical yield.</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Consistent flow rate</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Reactor throughput depends on consistent input. Highly variable flow — seasonal rivers with long dry periods or flash-flood-dominated hydrology — requires significant buffering infrastructure and complicates steady-state operation.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Physical access</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Modular units require staging, delivery, and installation access. Sites with no road access, extreme bank geometry, or active flood risk during installation windows add cost and schedule risk.</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Proximity to population centers</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Visible impact drives political support. A node that produces measurable water improvement at a location where thousands of people depend on the river generates buy-in that remote installations do not.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Available adjacent land</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Greenhouse and biochar operations require land adjacent to the river intake. Floodplain parcels, brownfields, and marginal agricultural land are preferred. Active crop land or ecologically sensitive areas add permitting complexity.</w:t>
            </w:r>
          </w:p>
        </w:tc>
      </w:tr>
    </w:tbl>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6. Key Performance Metrics</w:t>
      </w:r>
    </w:p>
    <w:p>
      <w:pPr>
        <w:spacing w:after="80" w:before="80"/>
      </w:pPr>
      <w:r>
        <w:rPr>
          <w:rFonts w:ascii="Arial" w:cs="Arial" w:eastAsia="Arial" w:hAnsi="Arial"/>
          <w:b w:val="false"/>
          <w:bCs w:val="false"/>
          <w:i w:val="false"/>
          <w:iCs w:val="false"/>
          <w:color w:val="555555"/>
          <w:sz w:val="22"/>
          <w:szCs w:val="22"/>
        </w:rPr>
        <w:t xml:space="preserve">Operators track five primary metrics. These drive both operational decisions and the data set the financial model depends on.</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Metric</w:t>
            </w:r>
          </w:p>
        </w:tc>
        <w:tc>
          <w:tcPr>
            <w:tcW w:type="dxa" w:w="624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Operational Meaning</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Throughput (GPD)</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Gallons per day processed through the full system. The baseline capacity metric. Determines feedstock availability for thermochemical processing and sets the ceiling for all other outputs.</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Organic Reduction (%)</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Percentage reduction in biological oxygen demand (BOD), total suspended solids (TSS), and nutrient load between intake and discharge. Primary environmental performance indicator. Drives permit compliance and community trust.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Thermochemical Yield</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Biocrude and char output per unit of dry feedstock mass. The economic engine metric. Calibrates revenue projections and determines the cluster size required to sustain hub reactor operations.</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Water Quality at Discharge</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Turbidity, pathogen count, nutrient concentration (N, P), and dissolved oxygen at the outlet. The community-visible metric. Determines discharge permit status and public narrative around system performance.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System Energy Balance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Net energy produced vs. consumed. Includes thermal reuse, biocrude energy value, and parasitic load. Net positive is the design target. Falling below parity signals thermal loop failure or feedstock quality problems.</w:t>
            </w:r>
          </w:p>
        </w:tc>
      </w:tr>
    </w:tbl>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7. Operator Priorities</w:t>
      </w:r>
    </w:p>
    <w:p>
      <w:pPr>
        <w:spacing w:after="80" w:before="80"/>
      </w:pPr>
      <w:r>
        <w:rPr>
          <w:rFonts w:ascii="Arial" w:cs="Arial" w:eastAsia="Arial" w:hAnsi="Arial"/>
          <w:b w:val="false"/>
          <w:bCs w:val="false"/>
          <w:i w:val="false"/>
          <w:iCs w:val="false"/>
          <w:color w:val="555555"/>
          <w:sz w:val="22"/>
          <w:szCs w:val="22"/>
        </w:rPr>
        <w:t xml:space="preserve">When trade-offs arise — and they will — operators apply this hierarchy:</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Priority</w:t>
            </w:r>
          </w:p>
        </w:tc>
        <w:tc>
          <w:tcPr>
            <w:tcW w:type="dxa" w:w="624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Rationale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1 — System Uptime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A running system at reduced efficiency outperforms a stopped system. Continuous low-output operation generates more data, more community trust, and more political capital than optimized but intermittent runs.</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2 — Stability Over Optimization</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Do not chase peak yield at the cost of process stability. Consistent, predictable output builds the case for Phase 2 funding. Erratic performance undermines it.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3 — Continuous Flow &gt; Peak Performance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Steady throughput is more valuable than throughput spikes. Feedstock variability management — pre-filtration quality, intake throttling during surge events — is a daily operational priority.</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4 — Output Capture Efficiency</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Outputs unused are system waste. Biocrude that isn't captured, char that isn't staged, water that isn't polished — these represent unrecovered value and unrecovered costs. Build local off-take relationships before the pilot ends.</w:t>
            </w:r>
          </w:p>
        </w:tc>
      </w:tr>
    </w:tbl>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8. Failure Modes + Mitigation</w:t>
      </w:r>
    </w:p>
    <w:p>
      <w:pPr>
        <w:spacing w:after="80" w:before="80"/>
      </w:pPr>
      <w:r>
        <w:rPr>
          <w:rFonts w:ascii="Arial" w:cs="Arial" w:eastAsia="Arial" w:hAnsi="Arial"/>
          <w:b w:val="false"/>
          <w:bCs w:val="false"/>
          <w:i w:val="false"/>
          <w:iCs w:val="false"/>
          <w:color w:val="555555"/>
          <w:sz w:val="22"/>
          <w:szCs w:val="22"/>
        </w:rPr>
        <w:t xml:space="preserve">RRP nodes are designed to fail safely — to default to a contained, non-hazardous state without operator intervention. There are no failure pathways that result in uncontrolled release, toxic discharge, or irreversible system loss. Every critical subsystem has a passive safe state.</w:t>
      </w:r>
    </w:p>
    <w:p>
      <w:pPr>
        <w:spacing w:after="0" w:before="60"/>
      </w:pPr>
    </w:p>
    <w:p>
      <w:pPr>
        <w:spacing w:after="80" w:before="80"/>
      </w:pPr>
      <w:r>
        <w:rPr>
          <w:rFonts w:ascii="Arial" w:cs="Arial" w:eastAsia="Arial" w:hAnsi="Arial"/>
          <w:b w:val="false"/>
          <w:bCs w:val="false"/>
          <w:i w:val="false"/>
          <w:iCs w:val="false"/>
          <w:color w:val="555555"/>
          <w:sz w:val="22"/>
          <w:szCs w:val="22"/>
        </w:rPr>
        <w:t xml:space="preserve">The operational failure modes most likely to affect throughput or output quality are:</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Failure Mode</w:t>
            </w:r>
          </w:p>
        </w:tc>
        <w:tc>
          <w:tcPr>
            <w:tcW w:type="dxa" w:w="6240"/>
            <w:tcBorders>
              <w:top w:val="single" w:color="CCCCCC" w:sz="1"/>
              <w:left w:val="single" w:color="CCCCCC" w:sz="1"/>
              <w:bottom w:val="single" w:color="CCCCCC" w:sz="1"/>
              <w:right w:val="single" w:color="CCCCCC" w:sz="1"/>
            </w:tcBorders>
            <w:shd w:fill="1A3A2A" w:val="clear"/>
            <w:tcMar>
              <w:top w:type="dxa" w:w="80"/>
              <w:left w:type="dxa" w:w="160"/>
              <w:bottom w:type="dxa" w:w="80"/>
              <w:right w:type="dxa" w:w="160"/>
            </w:tcMar>
          </w:tcPr>
          <w:p>
            <w:r>
              <w:rPr>
                <w:rFonts w:ascii="Arial" w:cs="Arial" w:eastAsia="Arial" w:hAnsi="Arial"/>
                <w:b/>
                <w:bCs/>
                <w:color w:val="FFFFFF"/>
                <w:sz w:val="20"/>
                <w:szCs w:val="20"/>
              </w:rPr>
              <w:t xml:space="preserve">Mitigation + Response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Intake overload</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Surge events carry debris loads that overwhelm pre-filtration screens. Mitigation: triple-layered screen arrays, bypass gates, automatic low-flow alarms. Response: throttle intake, clear screens, resume gradually.</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Feedstock composition shift</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Seasonal changes in river chemistry — post-storm runoff, upstream discharge events — alter organic load and thermochemical yield. Mitigation: SCADA monitoring with automated alerts, flexible reactor parameter adjustment. Response: reduce throughput, re-stabilize, do not run off-spec feedstock through the reactor.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Thermal loop degradation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Heat exchange efficiency drops over time as scale builds on heat exchanger surfaces. Early detection through energy balance monitoring. Response: scheduled descaling maintenance on heat exchangers — treat as routine, not as an emergency.</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Reactor fouling from poor pre-filtration</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Solids that pass pre-filtration foul reactor internals, reducing throughput and increasing pressure drop. Prevention is the only effective mitigation. Pre-filtration is not optional — it is the reactor's protection system.</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b/>
                <w:bCs/>
                <w:color w:val="1A3A2A"/>
                <w:sz w:val="20"/>
                <w:szCs w:val="20"/>
              </w:rPr>
              <w:t xml:space="preserve">Output accumulation without off-take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p>
            <w:r>
              <w:rPr>
                <w:rFonts w:ascii="Arial" w:cs="Arial" w:eastAsia="Arial" w:hAnsi="Arial"/>
                <w:color w:val="2C2C2C"/>
                <w:sz w:val="20"/>
                <w:szCs w:val="20"/>
              </w:rPr>
              <w:t xml:space="preserve">Biocrude and char storage has finite capacity. If local buyers are not in place before the pilot reaches full throughput, storage backs up and forces throughput reduction. Establish off-take agreements before system commissioning.</w:t>
            </w:r>
          </w:p>
        </w:tc>
      </w:tr>
      <w:tr>
        <w:tc>
          <w:tcPr>
            <w:tcW w:type="dxa" w:w="312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b/>
                <w:bCs/>
                <w:color w:val="1A3A2A"/>
                <w:sz w:val="20"/>
                <w:szCs w:val="20"/>
              </w:rPr>
              <w:t xml:space="preserve">Power failure</w:t>
            </w:r>
          </w:p>
        </w:tc>
        <w:tc>
          <w:tcPr>
            <w:tcW w:type="dxa" w:w="6240"/>
            <w:tcBorders>
              <w:top w:val="single" w:color="CCCCCC" w:sz="1"/>
              <w:left w:val="single" w:color="CCCCCC" w:sz="1"/>
              <w:bottom w:val="single" w:color="CCCCCC" w:sz="1"/>
              <w:right w:val="single" w:color="CCCCCC" w:sz="1"/>
            </w:tcBorders>
            <w:shd w:fill="F2F7F4" w:val="clear"/>
            <w:tcMar>
              <w:top w:type="dxa" w:w="80"/>
              <w:left w:type="dxa" w:w="160"/>
              <w:bottom w:type="dxa" w:w="80"/>
              <w:right w:type="dxa" w:w="160"/>
            </w:tcMar>
          </w:tcPr>
          <w:p>
            <w:r>
              <w:rPr>
                <w:rFonts w:ascii="Arial" w:cs="Arial" w:eastAsia="Arial" w:hAnsi="Arial"/>
                <w:color w:val="2C2C2C"/>
                <w:sz w:val="20"/>
                <w:szCs w:val="20"/>
              </w:rPr>
              <w:t xml:space="preserve">System seals, isolates, and depressurizes automatically. SCADA defaults to containment loops. No release, no hazard. Restart protocol: verify pressure equalization, check valve positions, restart at reduced throughput.</w:t>
            </w:r>
          </w:p>
        </w:tc>
      </w:tr>
    </w:tbl>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9. Leverage Points</w:t>
      </w:r>
    </w:p>
    <w:p>
      <w:pPr>
        <w:spacing w:after="80" w:before="80"/>
      </w:pPr>
      <w:r>
        <w:rPr>
          <w:rFonts w:ascii="Arial" w:cs="Arial" w:eastAsia="Arial" w:hAnsi="Arial"/>
          <w:b w:val="false"/>
          <w:bCs w:val="false"/>
          <w:i w:val="false"/>
          <w:iCs w:val="false"/>
          <w:color w:val="555555"/>
          <w:sz w:val="22"/>
          <w:szCs w:val="22"/>
        </w:rPr>
        <w:t xml:space="preserve">These are the variables that produce outsized return relative to the effort required to improve them. Operators who understand leverage points know where to focus when resources are constrained.</w:t>
      </w:r>
    </w:p>
    <w:p>
      <w:pPr>
        <w:spacing w:after="0" w:before="80"/>
      </w:pPr>
    </w:p>
    <w:p>
      <w:pPr>
        <w:pStyle w:val="ListParagraph"/>
        <w:numPr>
          <w:ilvl w:val="0"/>
          <w:numId w:val="2"/>
        </w:numPr>
        <w:spacing w:after="40" w:before="40"/>
      </w:pPr>
      <w:r>
        <w:rPr>
          <w:rFonts w:ascii="Arial" w:cs="Arial" w:eastAsia="Arial" w:hAnsi="Arial"/>
          <w:color w:val="555555"/>
          <w:sz w:val="22"/>
          <w:szCs w:val="22"/>
        </w:rPr>
        <w:t xml:space="preserve">Heat reuse efficiency is the single highest-leverage operational variable. Every percentage point improvement in thermal recovery reduces external energy cost and improves net energy balance. Prioritize heat exchanger maintenance above almost everything else.</w:t>
      </w:r>
    </w:p>
    <w:p>
      <w:pPr>
        <w:pStyle w:val="ListParagraph"/>
        <w:numPr>
          <w:ilvl w:val="0"/>
          <w:numId w:val="2"/>
        </w:numPr>
        <w:spacing w:after="40" w:before="40"/>
      </w:pPr>
      <w:r>
        <w:rPr>
          <w:rFonts w:ascii="Arial" w:cs="Arial" w:eastAsia="Arial" w:hAnsi="Arial"/>
          <w:color w:val="555555"/>
          <w:sz w:val="22"/>
          <w:szCs w:val="22"/>
        </w:rPr>
        <w:t xml:space="preserve">Biochar has immediate local agricultural value and the shortest path to early revenue. Establish farmer relationships before the pilot produces its first char batch. Early off-take builds community integration and generates cash flow that supports political sustainability.</w:t>
      </w:r>
    </w:p>
    <w:p>
      <w:pPr>
        <w:pStyle w:val="ListParagraph"/>
        <w:numPr>
          <w:ilvl w:val="0"/>
          <w:numId w:val="2"/>
        </w:numPr>
        <w:spacing w:after="40" w:before="40"/>
      </w:pPr>
      <w:r>
        <w:rPr>
          <w:rFonts w:ascii="Arial" w:cs="Arial" w:eastAsia="Arial" w:hAnsi="Arial"/>
          <w:color w:val="555555"/>
          <w:sz w:val="22"/>
          <w:szCs w:val="22"/>
        </w:rPr>
        <w:t xml:space="preserve">Visible water improvement at community water access points is the primary driver of political support. Measure at those points, not just at system discharge. Report results in plain language — turbidity and pathogen reduction translate to community terms better than BOD percentages.</w:t>
      </w:r>
    </w:p>
    <w:p>
      <w:pPr>
        <w:pStyle w:val="ListParagraph"/>
        <w:numPr>
          <w:ilvl w:val="0"/>
          <w:numId w:val="2"/>
        </w:numPr>
        <w:spacing w:after="40" w:before="40"/>
      </w:pPr>
      <w:r>
        <w:rPr>
          <w:rFonts w:ascii="Arial" w:cs="Arial" w:eastAsia="Arial" w:hAnsi="Arial"/>
          <w:color w:val="555555"/>
          <w:sz w:val="22"/>
          <w:szCs w:val="22"/>
        </w:rPr>
        <w:t xml:space="preserve">Biocrude reframes the system in the minds of political and financial stakeholders. A remediation project costs money. A fuel-producing infrastructure asset generates returns. Frame every stakeholder conversation around the oil recovery number, not the water treatment number.</w:t>
      </w:r>
    </w:p>
    <w:p>
      <w:pPr>
        <w:pStyle w:val="ListParagraph"/>
        <w:numPr>
          <w:ilvl w:val="0"/>
          <w:numId w:val="2"/>
        </w:numPr>
        <w:spacing w:after="40" w:before="40"/>
      </w:pPr>
      <w:r>
        <w:rPr>
          <w:rFonts w:ascii="Arial" w:cs="Arial" w:eastAsia="Arial" w:hAnsi="Arial"/>
          <w:color w:val="555555"/>
          <w:sz w:val="22"/>
          <w:szCs w:val="22"/>
        </w:rPr>
        <w:t xml:space="preserve">Pilot data quality determines Phase 2 funding eligibility. Sloppy measurement at the pilot stage means the financial model runs on assumptions, not evidence. Every data point collected is an asset that compounds value across the full deployment arc.</w:t>
      </w:r>
    </w:p>
    <w:p>
      <w:pPr>
        <w:spacing w:after="0" w:before="120"/>
      </w:pPr>
    </w:p>
    <w:p>
      <w:pPr>
        <w:pBdr>
          <w:bottom w:val="single" w:color="CCCCCC" w:sz="6" w:space="1"/>
        </w:pBdr>
        <w:spacing w:after="60" w:before="60"/>
      </w:pPr>
    </w:p>
    <w:p>
      <w:pPr>
        <w:pStyle w:val="Heading1"/>
        <w:spacing w:after="120" w:before="360"/>
      </w:pPr>
      <w:r>
        <w:rPr>
          <w:rFonts w:ascii="Arial" w:cs="Arial" w:eastAsia="Arial" w:hAnsi="Arial"/>
          <w:b/>
          <w:bCs/>
          <w:color w:val="1A3A2A"/>
          <w:sz w:val="36"/>
          <w:szCs w:val="36"/>
        </w:rPr>
        <w:t xml:space="preserve">10. End State</w:t>
      </w:r>
    </w:p>
    <w:p>
      <w:pPr>
        <w:spacing w:after="80" w:before="80"/>
      </w:pPr>
      <w:r>
        <w:rPr>
          <w:rFonts w:ascii="Arial" w:cs="Arial" w:eastAsia="Arial" w:hAnsi="Arial"/>
          <w:b w:val="false"/>
          <w:bCs w:val="false"/>
          <w:i w:val="false"/>
          <w:iCs w:val="false"/>
          <w:color w:val="555555"/>
          <w:sz w:val="22"/>
          <w:szCs w:val="22"/>
        </w:rPr>
        <w:t xml:space="preserve">A fully deployed RRP network on a river system produces an outcome that is structurally different from a conventional remediation project.</w:t>
      </w:r>
    </w:p>
    <w:p>
      <w:pPr>
        <w:spacing w:after="0" w:before="80"/>
      </w:pPr>
    </w:p>
    <w:p>
      <w:pPr>
        <w:spacing w:after="80" w:before="80"/>
      </w:pPr>
      <w:r>
        <w:rPr>
          <w:rFonts w:ascii="Arial" w:cs="Arial" w:eastAsia="Arial" w:hAnsi="Arial"/>
          <w:b w:val="false"/>
          <w:bCs w:val="false"/>
          <w:i w:val="false"/>
          <w:iCs w:val="false"/>
          <w:color w:val="555555"/>
          <w:sz w:val="22"/>
          <w:szCs w:val="22"/>
        </w:rPr>
        <w:t xml:space="preserve">Conventional remediation has an end state: the contamination is removed, the project closes, the infrastructure is decommissioned. The river may recontaminate. The infrastructure does not prevent it.</w:t>
      </w:r>
    </w:p>
    <w:p>
      <w:pPr>
        <w:spacing w:after="0" w:before="80"/>
      </w:pPr>
    </w:p>
    <w:p>
      <w:pPr>
        <w:spacing w:after="80" w:before="80"/>
      </w:pPr>
      <w:r>
        <w:rPr>
          <w:rFonts w:ascii="Arial" w:cs="Arial" w:eastAsia="Arial" w:hAnsi="Arial"/>
          <w:b w:val="false"/>
          <w:bCs w:val="false"/>
          <w:i w:val="false"/>
          <w:iCs w:val="false"/>
          <w:color w:val="555555"/>
          <w:sz w:val="22"/>
          <w:szCs w:val="22"/>
        </w:rPr>
        <w:t xml:space="preserve">The RRP produces a different end state:</w:t>
      </w:r>
    </w:p>
    <w:p>
      <w:pPr>
        <w:spacing w:after="0" w:before="60"/>
      </w:pPr>
    </w:p>
    <w:p>
      <w:pPr>
        <w:pStyle w:val="ListParagraph"/>
        <w:numPr>
          <w:ilvl w:val="0"/>
          <w:numId w:val="2"/>
        </w:numPr>
        <w:spacing w:after="40" w:before="40"/>
      </w:pPr>
      <w:r>
        <w:rPr>
          <w:rFonts w:ascii="Arial" w:cs="Arial" w:eastAsia="Arial" w:hAnsi="Arial"/>
          <w:color w:val="555555"/>
          <w:sz w:val="22"/>
          <w:szCs w:val="22"/>
        </w:rPr>
        <w:t xml:space="preserve">The river gets cleaner continuously — not as the result of a one-time intervention, but as a structural consequence of ongoing operations. As long as the network runs, the river improves.</w:t>
      </w:r>
    </w:p>
    <w:p>
      <w:pPr>
        <w:pStyle w:val="ListParagraph"/>
        <w:numPr>
          <w:ilvl w:val="0"/>
          <w:numId w:val="2"/>
        </w:numPr>
        <w:spacing w:after="40" w:before="40"/>
      </w:pPr>
      <w:r>
        <w:rPr>
          <w:rFonts w:ascii="Arial" w:cs="Arial" w:eastAsia="Arial" w:hAnsi="Arial"/>
          <w:color w:val="555555"/>
          <w:sz w:val="22"/>
          <w:szCs w:val="22"/>
        </w:rPr>
        <w:t xml:space="preserve">The river becomes a net energy contributor to the regional economy — producing fuel that displaces petroleum imports and powers the agricultural systems that depend on the watershed.</w:t>
      </w:r>
    </w:p>
    <w:p>
      <w:pPr>
        <w:pStyle w:val="ListParagraph"/>
        <w:numPr>
          <w:ilvl w:val="0"/>
          <w:numId w:val="2"/>
        </w:numPr>
        <w:spacing w:after="40" w:before="40"/>
      </w:pPr>
      <w:r>
        <w:rPr>
          <w:rFonts w:ascii="Arial" w:cs="Arial" w:eastAsia="Arial" w:hAnsi="Arial"/>
          <w:color w:val="555555"/>
          <w:sz w:val="22"/>
          <w:szCs w:val="22"/>
        </w:rPr>
        <w:t xml:space="preserve">The river supports agricultural productivity — biochar from thermochemical processing rebuilds soil organic matter in the surrounding agricultural zone, reducing synthetic fertilizer dependency.</w:t>
      </w:r>
    </w:p>
    <w:p>
      <w:pPr>
        <w:pStyle w:val="ListParagraph"/>
        <w:numPr>
          <w:ilvl w:val="0"/>
          <w:numId w:val="2"/>
        </w:numPr>
        <w:spacing w:after="40" w:before="40"/>
      </w:pPr>
      <w:r>
        <w:rPr>
          <w:rFonts w:ascii="Arial" w:cs="Arial" w:eastAsia="Arial" w:hAnsi="Arial"/>
          <w:color w:val="555555"/>
          <w:sz w:val="22"/>
          <w:szCs w:val="22"/>
        </w:rPr>
        <w:t xml:space="preserve">The infrastructure self-finances at scale — the economic model is designed to reach breakeven on pilot data and positive returns at cluster scale, eliminating dependence on grant funding for ongoing operations.</w:t>
      </w:r>
    </w:p>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A9E6A" w:sz="8"/>
              <w:left w:val="none" w:color="FFFFFF" w:sz="0"/>
              <w:bottom w:val="none" w:color="FFFFFF" w:sz="0"/>
              <w:right w:val="none" w:color="FFFFFF" w:sz="0"/>
            </w:tcBorders>
            <w:shd w:fill="E8F2EC" w:val="clear"/>
            <w:tcMar>
              <w:top w:type="dxa" w:w="160"/>
              <w:left w:type="dxa" w:w="240"/>
              <w:bottom w:type="dxa" w:w="160"/>
              <w:right w:type="dxa" w:w="240"/>
            </w:tcMar>
          </w:tcPr>
          <w:p>
            <w:pPr>
              <w:spacing w:after="20" w:before="40"/>
            </w:pPr>
            <w:r>
              <w:rPr>
                <w:rFonts w:ascii="Arial" w:cs="Arial" w:eastAsia="Arial" w:hAnsi="Arial"/>
                <w:b/>
                <w:bCs/>
                <w:color w:val="2E6B44"/>
                <w:sz w:val="20"/>
                <w:szCs w:val="20"/>
              </w:rPr>
              <w:t xml:space="preserve">BOTTOM LINE</w:t>
            </w:r>
          </w:p>
          <w:p>
            <w:pPr>
              <w:spacing w:after="40" w:before="20"/>
            </w:pPr>
            <w:r>
              <w:rPr>
                <w:rFonts w:ascii="Arial" w:cs="Arial" w:eastAsia="Arial" w:hAnsi="Arial"/>
                <w:i/>
                <w:iCs/>
                <w:color w:val="2C2C2C"/>
                <w:sz w:val="22"/>
                <w:szCs w:val="22"/>
              </w:rPr>
              <w:t xml:space="preserve">This is not an environmental project. It is a distributed infrastructure model that converts pollution into energy, water, and soil value — continuously. The river does not get cleaned. It gets transformed.</w:t>
            </w:r>
          </w:p>
        </w:tc>
      </w:tr>
    </w:tbl>
    <w:p>
      <w:pPr>
        <w:spacing w:after="0" w:before="200"/>
      </w:pPr>
    </w:p>
    <w:p>
      <w:pPr>
        <w:pBdr>
          <w:bottom w:val="single" w:color="4A9E6A" w:sz="6" w:space="1"/>
        </w:pBdr>
        <w:spacing w:after="60" w:before="60"/>
      </w:pPr>
    </w:p>
    <w:p>
      <w:pPr>
        <w:spacing w:after="0" w:before="80"/>
      </w:pPr>
    </w:p>
    <w:p>
      <w:pPr>
        <w:spacing w:after="40" w:before="60"/>
        <w:jc w:val="center"/>
      </w:pPr>
      <w:r>
        <w:rPr>
          <w:rFonts w:ascii="Arial" w:cs="Arial" w:eastAsia="Arial" w:hAnsi="Arial"/>
          <w:b/>
          <w:bCs/>
          <w:color w:val="1A3A2A"/>
          <w:sz w:val="20"/>
          <w:szCs w:val="20"/>
        </w:rPr>
        <w:t xml:space="preserve">Cernunnos Foundation  |  Bright Meadow Group</w:t>
      </w:r>
    </w:p>
    <w:p>
      <w:pPr>
        <w:spacing w:after="40" w:before="0"/>
        <w:jc w:val="center"/>
      </w:pPr>
      <w:r>
        <w:rPr>
          <w:rFonts w:ascii="Arial" w:cs="Arial" w:eastAsia="Arial" w:hAnsi="Arial"/>
          <w:color w:val="555555"/>
          <w:sz w:val="18"/>
          <w:szCs w:val="18"/>
        </w:rPr>
        <w:t xml:space="preserve">robert@brightmeadowgroup.com  |  www.cernunnosfoundation.com</w:t>
      </w:r>
    </w:p>
    <w:p>
      <w:pPr>
        <w:spacing w:after="0" w:before="0"/>
        <w:jc w:val="center"/>
      </w:pPr>
      <w:r>
        <w:rPr>
          <w:rFonts w:ascii="Arial" w:cs="Arial" w:eastAsia="Arial" w:hAnsi="Arial"/>
          <w:i/>
          <w:iCs/>
          <w:color w:val="4A9E6A"/>
          <w:sz w:val="18"/>
          <w:szCs w:val="18"/>
        </w:rPr>
        <w:t xml:space="preserve">DRAFT — PRE-RELEASE  |  Not for Public Distribution</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tabs>
        <w:tab w:val="right" w:pos="9360"/>
      </w:tabs>
      <w:spacing w:after="0" w:before="80"/>
    </w:pPr>
    <w:r>
      <w:rPr>
        <w:rFonts w:ascii="Arial" w:cs="Arial" w:eastAsia="Arial" w:hAnsi="Arial"/>
        <w:color w:val="AAAAAA"/>
        <w:sz w:val="16"/>
        <w:szCs w:val="16"/>
      </w:rPr>
      <w:t xml:space="preserve">Cernunnos Foundation / Bright Meadow Group  |  robert@brightmeadowgroup.com</w:t>
    </w:r>
    <w:r>
      <w:rPr>
        <w:rFonts w:ascii="Arial" w:cs="Arial" w:eastAsia="Arial" w:hAnsi="Arial"/>
        <w:color w:val="AAAAAA"/>
        <w:sz w:val="16"/>
        <w:szCs w:val="16"/>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1"/>
      </w:pBdr>
      <w:spacing w:after="120" w:before="0"/>
    </w:pPr>
    <w:r>
      <w:rPr>
        <w:rFonts w:ascii="Arial" w:cs="Arial" w:eastAsia="Arial" w:hAnsi="Arial"/>
        <w:color w:val="AAAAAA"/>
        <w:sz w:val="16"/>
        <w:szCs w:val="16"/>
      </w:rPr>
      <w:t xml:space="preserve">RIVER REMEDIATION + RESOURCE RECOVERY  |  OPERATOR BRIEF</w:t>
    </w:r>
    <w:r>
      <w:rPr>
        <w:rFonts w:ascii="Arial" w:cs="Arial" w:eastAsia="Arial" w:hAnsi="Arial"/>
        <w:i/>
        <w:iCs/>
        <w:color w:val="4A9E6A"/>
        <w:sz w:val="16"/>
        <w:szCs w:val="16"/>
      </w:rPr>
      <w:t xml:space="preserve">    DRAFT — PRE-RELEASE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3A2A"/>
      <w:sz w:val="36"/>
      <w:szCs w:val="36"/>
    </w:rPr>
  </w:style>
  <w:style w:type="paragraph" w:styleId="Heading2">
    <w:name w:val="Heading 2"/>
    <w:basedOn w:val="Normal"/>
    <w:next w:val="Normal"/>
    <w:qFormat/>
    <w:pPr>
      <w:spacing w:after="80" w:before="240"/>
      <w:outlineLvl w:val="1"/>
    </w:pPr>
    <w:rPr>
      <w:rFonts w:ascii="Arial" w:cs="Arial" w:eastAsia="Arial" w:hAnsi="Arial"/>
      <w:b/>
      <w:bCs/>
      <w:color w:val="2E6B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2026-04-02T18:49:11.832Z</dcterms:created>
  <dcterms:modified xsi:type="dcterms:W3CDTF">2026-04-02T18:49:11.832Z</dcterms:modified>
</cp:coreProperties>
</file>

<file path=docProps/custom.xml><?xml version="1.0" encoding="utf-8"?>
<Properties xmlns="http://schemas.openxmlformats.org/officeDocument/2006/custom-properties" xmlns:vt="http://schemas.openxmlformats.org/officeDocument/2006/docPropsVTypes"/>
</file>